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jc w:val="center"/>
        <w:tblLayout w:type="fixed"/>
        <w:tblLook w:val="0000" w:firstRow="0" w:lastRow="0" w:firstColumn="0" w:lastColumn="0" w:noHBand="0" w:noVBand="0"/>
      </w:tblPr>
      <w:tblGrid>
        <w:gridCol w:w="9641"/>
        <w:gridCol w:w="50"/>
      </w:tblGrid>
      <w:tr w:rsidR="00C75A8D" w:rsidRPr="00946F6F" w14:paraId="4944387E" w14:textId="77777777">
        <w:trPr>
          <w:jc w:val="center"/>
        </w:trPr>
        <w:tc>
          <w:tcPr>
            <w:tcW w:w="9641" w:type="dxa"/>
          </w:tcPr>
          <w:p w14:paraId="4508A643" w14:textId="77777777" w:rsidR="00C75A8D" w:rsidRPr="00A30736" w:rsidRDefault="00AB11C0" w:rsidP="004226ED">
            <w:pPr>
              <w:pStyle w:val="1stNavigation"/>
              <w:snapToGrid w:val="0"/>
              <w:spacing w:line="276" w:lineRule="auto"/>
              <w:jc w:val="both"/>
              <w:rPr>
                <w:rFonts w:ascii="Times New Roman" w:hAnsi="Times New Roman"/>
                <w:color w:val="000000"/>
                <w:sz w:val="36"/>
                <w:szCs w:val="36"/>
                <w:lang w:val="lv-LV"/>
              </w:rPr>
            </w:pPr>
            <w:r w:rsidRPr="00A30736">
              <w:rPr>
                <w:rFonts w:ascii="Times New Roman" w:hAnsi="Times New Roman"/>
                <w:noProof/>
                <w:snapToGrid/>
                <w:sz w:val="36"/>
                <w:szCs w:val="36"/>
                <w:lang w:val="lv-LV"/>
              </w:rPr>
              <w:drawing>
                <wp:anchor distT="0" distB="0" distL="114935" distR="114935" simplePos="0" relativeHeight="251657728" behindDoc="1" locked="0" layoutInCell="1" allowOverlap="1" wp14:anchorId="2270D1ED" wp14:editId="5D32344F">
                  <wp:simplePos x="0" y="0"/>
                  <wp:positionH relativeFrom="column">
                    <wp:posOffset>3170555</wp:posOffset>
                  </wp:positionH>
                  <wp:positionV relativeFrom="paragraph">
                    <wp:posOffset>-57150</wp:posOffset>
                  </wp:positionV>
                  <wp:extent cx="2856230" cy="1189990"/>
                  <wp:effectExtent l="0" t="0" r="1270" b="0"/>
                  <wp:wrapTight wrapText="left">
                    <wp:wrapPolygon edited="0">
                      <wp:start x="0" y="0"/>
                      <wp:lineTo x="0" y="21093"/>
                      <wp:lineTo x="21466" y="21093"/>
                      <wp:lineTo x="2146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6230" cy="1189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50" w:type="dxa"/>
            <w:tcMar>
              <w:left w:w="0" w:type="dxa"/>
              <w:right w:w="0" w:type="dxa"/>
            </w:tcMar>
          </w:tcPr>
          <w:p w14:paraId="77DF36BF" w14:textId="77777777" w:rsidR="00C75A8D" w:rsidRPr="00946F6F" w:rsidRDefault="00C75A8D" w:rsidP="004226ED">
            <w:pPr>
              <w:snapToGrid w:val="0"/>
              <w:spacing w:line="276" w:lineRule="auto"/>
              <w:jc w:val="both"/>
              <w:rPr>
                <w:color w:val="000000"/>
                <w:sz w:val="24"/>
                <w:szCs w:val="24"/>
                <w:lang w:val="lv-LV"/>
              </w:rPr>
            </w:pPr>
          </w:p>
        </w:tc>
      </w:tr>
      <w:tr w:rsidR="00C75A8D" w:rsidRPr="00A30736" w14:paraId="7A1683A6" w14:textId="77777777">
        <w:trPr>
          <w:jc w:val="center"/>
        </w:trPr>
        <w:tc>
          <w:tcPr>
            <w:tcW w:w="9641" w:type="dxa"/>
          </w:tcPr>
          <w:p w14:paraId="59382465" w14:textId="77777777" w:rsidR="00C75A8D" w:rsidRPr="00A30736" w:rsidRDefault="00C75A8D" w:rsidP="003222AC">
            <w:pPr>
              <w:pStyle w:val="1stNavigation"/>
              <w:snapToGrid w:val="0"/>
              <w:spacing w:before="200" w:after="400" w:line="276" w:lineRule="auto"/>
              <w:jc w:val="right"/>
              <w:rPr>
                <w:rFonts w:ascii="Times New Roman" w:hAnsi="Times New Roman"/>
                <w:sz w:val="24"/>
                <w:szCs w:val="24"/>
                <w:lang w:val="lv-LV"/>
              </w:rPr>
            </w:pPr>
            <w:r w:rsidRPr="00A30736">
              <w:rPr>
                <w:rFonts w:ascii="Times New Roman" w:hAnsi="Times New Roman"/>
                <w:b w:val="0"/>
                <w:color w:val="000000"/>
                <w:sz w:val="24"/>
                <w:szCs w:val="24"/>
                <w:lang w:val="lv-LV"/>
              </w:rPr>
              <w:t>Pozīcijas ziņojums Nr. </w:t>
            </w:r>
            <w:r w:rsidR="003222AC">
              <w:rPr>
                <w:rFonts w:ascii="Times New Roman" w:hAnsi="Times New Roman"/>
                <w:b w:val="0"/>
                <w:color w:val="000000"/>
                <w:sz w:val="24"/>
                <w:szCs w:val="24"/>
                <w:lang w:val="lv-LV"/>
              </w:rPr>
              <w:t>2</w:t>
            </w:r>
          </w:p>
        </w:tc>
        <w:tc>
          <w:tcPr>
            <w:tcW w:w="50" w:type="dxa"/>
            <w:tcMar>
              <w:left w:w="0" w:type="dxa"/>
              <w:right w:w="0" w:type="dxa"/>
            </w:tcMar>
          </w:tcPr>
          <w:p w14:paraId="59D922BD" w14:textId="77777777" w:rsidR="00C75A8D" w:rsidRPr="00A30736" w:rsidRDefault="00C75A8D" w:rsidP="004226ED">
            <w:pPr>
              <w:snapToGrid w:val="0"/>
              <w:spacing w:line="276" w:lineRule="auto"/>
              <w:jc w:val="both"/>
              <w:rPr>
                <w:color w:val="000000"/>
                <w:sz w:val="24"/>
                <w:szCs w:val="24"/>
                <w:lang w:val="lv-LV"/>
              </w:rPr>
            </w:pPr>
          </w:p>
        </w:tc>
      </w:tr>
      <w:tr w:rsidR="00C75A8D" w:rsidRPr="00946F6F" w14:paraId="2FDDF465" w14:textId="77777777">
        <w:trPr>
          <w:jc w:val="center"/>
        </w:trPr>
        <w:tc>
          <w:tcPr>
            <w:tcW w:w="9641" w:type="dxa"/>
          </w:tcPr>
          <w:p w14:paraId="4CC57316" w14:textId="77777777" w:rsidR="00C75A8D" w:rsidRPr="00946F6F" w:rsidRDefault="00AB11C0" w:rsidP="00B915E1">
            <w:pPr>
              <w:pStyle w:val="1stNavigation"/>
              <w:snapToGrid w:val="0"/>
              <w:spacing w:after="400" w:line="276" w:lineRule="auto"/>
              <w:jc w:val="both"/>
              <w:rPr>
                <w:rFonts w:ascii="Times New Roman" w:hAnsi="Times New Roman"/>
                <w:sz w:val="24"/>
                <w:szCs w:val="24"/>
                <w:lang w:val="lv-LV"/>
              </w:rPr>
            </w:pPr>
            <w:r w:rsidRPr="00A30736">
              <w:rPr>
                <w:rFonts w:ascii="Times New Roman" w:hAnsi="Times New Roman"/>
                <w:b w:val="0"/>
                <w:color w:val="000000"/>
                <w:sz w:val="24"/>
                <w:szCs w:val="24"/>
                <w:lang w:val="lv-LV"/>
              </w:rPr>
              <w:t>2014.</w:t>
            </w:r>
            <w:r w:rsidR="003222AC">
              <w:rPr>
                <w:rFonts w:ascii="Times New Roman" w:hAnsi="Times New Roman"/>
                <w:b w:val="0"/>
                <w:color w:val="000000"/>
                <w:sz w:val="24"/>
                <w:szCs w:val="24"/>
                <w:lang w:val="lv-LV"/>
              </w:rPr>
              <w:t xml:space="preserve"> </w:t>
            </w:r>
            <w:r w:rsidRPr="00A30736">
              <w:rPr>
                <w:rFonts w:ascii="Times New Roman" w:hAnsi="Times New Roman"/>
                <w:b w:val="0"/>
                <w:color w:val="000000"/>
                <w:sz w:val="24"/>
                <w:szCs w:val="24"/>
                <w:lang w:val="lv-LV"/>
              </w:rPr>
              <w:t xml:space="preserve">gada </w:t>
            </w:r>
            <w:r w:rsidR="00A30736" w:rsidRPr="00A30736">
              <w:rPr>
                <w:rFonts w:ascii="Times New Roman" w:hAnsi="Times New Roman"/>
                <w:b w:val="0"/>
                <w:color w:val="000000"/>
                <w:sz w:val="24"/>
                <w:szCs w:val="24"/>
                <w:lang w:val="lv-LV"/>
              </w:rPr>
              <w:t>30.</w:t>
            </w:r>
            <w:r w:rsidR="003222AC">
              <w:rPr>
                <w:rFonts w:ascii="Times New Roman" w:hAnsi="Times New Roman"/>
                <w:b w:val="0"/>
                <w:color w:val="000000"/>
                <w:sz w:val="24"/>
                <w:szCs w:val="24"/>
                <w:lang w:val="lv-LV"/>
              </w:rPr>
              <w:t xml:space="preserve"> </w:t>
            </w:r>
            <w:r w:rsidR="00A30736" w:rsidRPr="00A30736">
              <w:rPr>
                <w:rFonts w:ascii="Times New Roman" w:hAnsi="Times New Roman"/>
                <w:b w:val="0"/>
                <w:color w:val="000000"/>
                <w:sz w:val="24"/>
                <w:szCs w:val="24"/>
                <w:lang w:val="lv-LV"/>
              </w:rPr>
              <w:t>maijā.</w:t>
            </w:r>
          </w:p>
        </w:tc>
        <w:tc>
          <w:tcPr>
            <w:tcW w:w="50" w:type="dxa"/>
            <w:tcMar>
              <w:left w:w="0" w:type="dxa"/>
              <w:right w:w="0" w:type="dxa"/>
            </w:tcMar>
          </w:tcPr>
          <w:p w14:paraId="4DDCEF87" w14:textId="77777777" w:rsidR="00C75A8D" w:rsidRPr="00946F6F" w:rsidRDefault="00C75A8D" w:rsidP="004226ED">
            <w:pPr>
              <w:snapToGrid w:val="0"/>
              <w:spacing w:line="276" w:lineRule="auto"/>
              <w:jc w:val="both"/>
              <w:rPr>
                <w:sz w:val="24"/>
                <w:szCs w:val="24"/>
                <w:lang w:val="lv-LV"/>
              </w:rPr>
            </w:pPr>
          </w:p>
        </w:tc>
      </w:tr>
      <w:tr w:rsidR="00C75A8D" w:rsidRPr="00946F6F" w14:paraId="00B9A4E1" w14:textId="77777777">
        <w:trPr>
          <w:jc w:val="center"/>
        </w:trPr>
        <w:tc>
          <w:tcPr>
            <w:tcW w:w="9641" w:type="dxa"/>
          </w:tcPr>
          <w:p w14:paraId="70F5A52C" w14:textId="77777777" w:rsidR="00C75A8D" w:rsidRPr="00946F6F" w:rsidRDefault="00DB557C" w:rsidP="003222AC">
            <w:pPr>
              <w:pStyle w:val="BodyText"/>
              <w:snapToGrid w:val="0"/>
              <w:spacing w:line="276" w:lineRule="auto"/>
              <w:rPr>
                <w:rFonts w:ascii="Times New Roman" w:hAnsi="Times New Roman"/>
                <w:sz w:val="24"/>
                <w:szCs w:val="24"/>
                <w:lang w:val="lv-LV"/>
              </w:rPr>
            </w:pPr>
            <w:r w:rsidRPr="00946F6F">
              <w:rPr>
                <w:rFonts w:ascii="Times New Roman" w:hAnsi="Times New Roman"/>
                <w:b/>
                <w:sz w:val="24"/>
                <w:szCs w:val="24"/>
                <w:lang w:val="lv-LV"/>
              </w:rPr>
              <w:t>Pozīcijas ziņojums</w:t>
            </w:r>
            <w:r w:rsidR="003222AC">
              <w:rPr>
                <w:rFonts w:ascii="Times New Roman" w:hAnsi="Times New Roman"/>
                <w:b/>
                <w:sz w:val="24"/>
                <w:szCs w:val="24"/>
                <w:lang w:val="lv-LV"/>
              </w:rPr>
              <w:t xml:space="preserve"> par i</w:t>
            </w:r>
            <w:r w:rsidR="003222AC" w:rsidRPr="00946F6F">
              <w:rPr>
                <w:rFonts w:ascii="Times New Roman" w:hAnsi="Times New Roman"/>
                <w:b/>
                <w:sz w:val="24"/>
                <w:szCs w:val="24"/>
                <w:lang w:val="lv-LV"/>
              </w:rPr>
              <w:t>nvestīciju drošīb</w:t>
            </w:r>
            <w:r w:rsidR="003222AC">
              <w:rPr>
                <w:rFonts w:ascii="Times New Roman" w:hAnsi="Times New Roman"/>
                <w:b/>
                <w:sz w:val="24"/>
                <w:szCs w:val="24"/>
                <w:lang w:val="lv-LV"/>
              </w:rPr>
              <w:t>u un aizsardzību</w:t>
            </w:r>
          </w:p>
        </w:tc>
        <w:tc>
          <w:tcPr>
            <w:tcW w:w="50" w:type="dxa"/>
            <w:tcMar>
              <w:left w:w="0" w:type="dxa"/>
              <w:right w:w="0" w:type="dxa"/>
            </w:tcMar>
          </w:tcPr>
          <w:p w14:paraId="1ACE8B10" w14:textId="77777777" w:rsidR="00C75A8D" w:rsidRPr="00946F6F" w:rsidRDefault="00C75A8D" w:rsidP="004226ED">
            <w:pPr>
              <w:snapToGrid w:val="0"/>
              <w:spacing w:line="276" w:lineRule="auto"/>
              <w:jc w:val="both"/>
              <w:rPr>
                <w:sz w:val="24"/>
                <w:szCs w:val="24"/>
                <w:lang w:val="lv-LV"/>
              </w:rPr>
            </w:pPr>
          </w:p>
        </w:tc>
      </w:tr>
      <w:tr w:rsidR="00C75A8D" w:rsidRPr="00946F6F" w14:paraId="7FD9B2B8" w14:textId="77777777">
        <w:trPr>
          <w:jc w:val="center"/>
        </w:trPr>
        <w:tc>
          <w:tcPr>
            <w:tcW w:w="9641" w:type="dxa"/>
          </w:tcPr>
          <w:p w14:paraId="6CF70AD3" w14:textId="77777777" w:rsidR="00C75A8D" w:rsidRPr="00946F6F" w:rsidRDefault="00C75A8D" w:rsidP="004226ED">
            <w:pPr>
              <w:snapToGrid w:val="0"/>
              <w:spacing w:line="276" w:lineRule="auto"/>
              <w:jc w:val="both"/>
              <w:rPr>
                <w:sz w:val="24"/>
                <w:szCs w:val="24"/>
                <w:lang w:val="lv-LV"/>
              </w:rPr>
            </w:pPr>
          </w:p>
        </w:tc>
        <w:tc>
          <w:tcPr>
            <w:tcW w:w="50" w:type="dxa"/>
            <w:tcMar>
              <w:left w:w="0" w:type="dxa"/>
              <w:right w:w="0" w:type="dxa"/>
            </w:tcMar>
          </w:tcPr>
          <w:p w14:paraId="5C673E9B" w14:textId="77777777" w:rsidR="00C75A8D" w:rsidRPr="00946F6F" w:rsidRDefault="00C75A8D" w:rsidP="004226ED">
            <w:pPr>
              <w:snapToGrid w:val="0"/>
              <w:spacing w:line="276" w:lineRule="auto"/>
              <w:jc w:val="both"/>
              <w:rPr>
                <w:sz w:val="24"/>
                <w:szCs w:val="24"/>
                <w:lang w:val="lv-LV"/>
              </w:rPr>
            </w:pPr>
          </w:p>
        </w:tc>
      </w:tr>
    </w:tbl>
    <w:p w14:paraId="5DAA4B0E" w14:textId="77777777" w:rsidR="006645EE" w:rsidRPr="00946F6F" w:rsidRDefault="006645EE" w:rsidP="00E52EAC">
      <w:pPr>
        <w:pStyle w:val="ColorfulList-Accent11"/>
        <w:numPr>
          <w:ilvl w:val="0"/>
          <w:numId w:val="2"/>
        </w:numPr>
        <w:spacing w:before="160"/>
        <w:ind w:left="709" w:hanging="709"/>
        <w:contextualSpacing w:val="0"/>
        <w:jc w:val="both"/>
        <w:rPr>
          <w:rFonts w:ascii="Times New Roman" w:hAnsi="Times New Roman"/>
          <w:b/>
          <w:sz w:val="24"/>
          <w:szCs w:val="24"/>
        </w:rPr>
      </w:pPr>
      <w:r w:rsidRPr="00946F6F">
        <w:rPr>
          <w:rFonts w:ascii="Times New Roman" w:hAnsi="Times New Roman"/>
          <w:b/>
          <w:sz w:val="24"/>
          <w:szCs w:val="24"/>
        </w:rPr>
        <w:t>Kopsavilkums</w:t>
      </w:r>
    </w:p>
    <w:tbl>
      <w:tblPr>
        <w:tblW w:w="0" w:type="auto"/>
        <w:jc w:val="center"/>
        <w:tblLayout w:type="fixed"/>
        <w:tblLook w:val="0000" w:firstRow="0" w:lastRow="0" w:firstColumn="0" w:lastColumn="0" w:noHBand="0" w:noVBand="0"/>
      </w:tblPr>
      <w:tblGrid>
        <w:gridCol w:w="9686"/>
      </w:tblGrid>
      <w:tr w:rsidR="006645EE" w:rsidRPr="00467DFC" w14:paraId="7E9CD4BA" w14:textId="77777777" w:rsidTr="00192326">
        <w:trPr>
          <w:jc w:val="center"/>
        </w:trPr>
        <w:tc>
          <w:tcPr>
            <w:tcW w:w="9686" w:type="dxa"/>
            <w:tcBorders>
              <w:top w:val="single" w:sz="8" w:space="0" w:color="000000"/>
              <w:left w:val="single" w:sz="8" w:space="0" w:color="000000"/>
              <w:bottom w:val="single" w:sz="8" w:space="0" w:color="000000"/>
              <w:right w:val="single" w:sz="8" w:space="0" w:color="000000"/>
            </w:tcBorders>
          </w:tcPr>
          <w:p w14:paraId="690E4EFF" w14:textId="77777777" w:rsidR="00D464CA" w:rsidRPr="00946F6F" w:rsidRDefault="00D464CA" w:rsidP="00625F54">
            <w:pPr>
              <w:pStyle w:val="ListParagraph"/>
              <w:spacing w:before="200"/>
              <w:ind w:left="0"/>
              <w:contextualSpacing w:val="0"/>
              <w:jc w:val="both"/>
              <w:rPr>
                <w:rFonts w:ascii="Times New Roman" w:hAnsi="Times New Roman" w:cs="Times New Roman"/>
                <w:sz w:val="24"/>
                <w:szCs w:val="24"/>
              </w:rPr>
            </w:pPr>
            <w:bookmarkStart w:id="0" w:name="_GoBack" w:colFirst="0" w:colLast="0"/>
            <w:r w:rsidRPr="00946F6F">
              <w:rPr>
                <w:rFonts w:ascii="Times New Roman" w:hAnsi="Times New Roman" w:cs="Times New Roman"/>
                <w:sz w:val="24"/>
                <w:szCs w:val="24"/>
              </w:rPr>
              <w:t>Gadu no gada dažādos politikas plānošanas dokumentos, stratēģiskās attīstības plānos un valdības deklarācijās kā viens no mērķiem tiek norādīta ārvalstu investīciju piesaiste un investīciju vides pilnveidošana. Šo mērķu izpildē Latvijai ir veicies dažādi</w:t>
            </w:r>
            <w:r w:rsidR="00170F48" w:rsidRPr="00946F6F">
              <w:rPr>
                <w:rFonts w:ascii="Times New Roman" w:hAnsi="Times New Roman" w:cs="Times New Roman"/>
                <w:sz w:val="24"/>
                <w:szCs w:val="24"/>
              </w:rPr>
              <w:t xml:space="preserve">: </w:t>
            </w:r>
            <w:r w:rsidRPr="00946F6F">
              <w:rPr>
                <w:rFonts w:ascii="Times New Roman" w:hAnsi="Times New Roman" w:cs="Times New Roman"/>
                <w:sz w:val="24"/>
                <w:szCs w:val="24"/>
              </w:rPr>
              <w:t>Pasaules ekonomikas foruma Pasaules valstu konkurētspējas ziņojumos gan 2012.-2013.gadam, gan 2013.-2014.gadam tādos rādītājos</w:t>
            </w:r>
            <w:r w:rsidR="009060FF" w:rsidRPr="00946F6F">
              <w:rPr>
                <w:rFonts w:ascii="Times New Roman" w:hAnsi="Times New Roman" w:cs="Times New Roman"/>
                <w:sz w:val="24"/>
                <w:szCs w:val="24"/>
              </w:rPr>
              <w:t xml:space="preserve"> kā</w:t>
            </w:r>
            <w:r w:rsidRPr="00946F6F">
              <w:rPr>
                <w:rFonts w:ascii="Times New Roman" w:hAnsi="Times New Roman" w:cs="Times New Roman"/>
                <w:sz w:val="24"/>
                <w:szCs w:val="24"/>
              </w:rPr>
              <w:t xml:space="preserve"> īstenotās politikas saprotamība un prognozējamība </w:t>
            </w:r>
            <w:r w:rsidR="009060FF" w:rsidRPr="00946F6F">
              <w:rPr>
                <w:rFonts w:ascii="Times New Roman" w:hAnsi="Times New Roman" w:cs="Times New Roman"/>
                <w:sz w:val="24"/>
                <w:szCs w:val="24"/>
              </w:rPr>
              <w:t xml:space="preserve">Latvija </w:t>
            </w:r>
            <w:r w:rsidRPr="00946F6F">
              <w:rPr>
                <w:rFonts w:ascii="Times New Roman" w:hAnsi="Times New Roman" w:cs="Times New Roman"/>
                <w:sz w:val="24"/>
                <w:szCs w:val="24"/>
              </w:rPr>
              <w:t>joprojām atpaliek no kaimiņ</w:t>
            </w:r>
            <w:r w:rsidR="00170F48" w:rsidRPr="00946F6F">
              <w:rPr>
                <w:rFonts w:ascii="Times New Roman" w:hAnsi="Times New Roman" w:cs="Times New Roman"/>
                <w:sz w:val="24"/>
                <w:szCs w:val="24"/>
              </w:rPr>
              <w:t>valstīm Lietuvas vai Igaunijas; a</w:t>
            </w:r>
            <w:r w:rsidRPr="00946F6F">
              <w:rPr>
                <w:rFonts w:ascii="Times New Roman" w:hAnsi="Times New Roman" w:cs="Times New Roman"/>
                <w:sz w:val="24"/>
                <w:szCs w:val="24"/>
              </w:rPr>
              <w:t xml:space="preserve">rī pagājušā gada nogalē Pasaules Bankas publicētajā pētījumā </w:t>
            </w:r>
            <w:r w:rsidR="00023266">
              <w:rPr>
                <w:rFonts w:ascii="Times New Roman" w:hAnsi="Times New Roman" w:cs="Times New Roman"/>
                <w:sz w:val="24"/>
                <w:szCs w:val="24"/>
              </w:rPr>
              <w:t>„</w:t>
            </w:r>
            <w:r w:rsidRPr="00946F6F">
              <w:rPr>
                <w:rFonts w:ascii="Times New Roman" w:hAnsi="Times New Roman" w:cs="Times New Roman"/>
                <w:sz w:val="24"/>
                <w:szCs w:val="24"/>
              </w:rPr>
              <w:t>Doing Business 2014</w:t>
            </w:r>
            <w:r w:rsidR="00023266">
              <w:rPr>
                <w:rFonts w:ascii="Times New Roman" w:hAnsi="Times New Roman" w:cs="Times New Roman"/>
                <w:sz w:val="24"/>
                <w:szCs w:val="24"/>
              </w:rPr>
              <w:t>”</w:t>
            </w:r>
            <w:r w:rsidRPr="00946F6F">
              <w:rPr>
                <w:rFonts w:ascii="Times New Roman" w:hAnsi="Times New Roman" w:cs="Times New Roman"/>
                <w:sz w:val="24"/>
                <w:szCs w:val="24"/>
              </w:rPr>
              <w:t xml:space="preserve"> Latvijas rādītāji kopumā joprojām nedaudz atpaliek no kaimiņvalstīm Lietuvas un Igaunijas (Latvija ierindojās 24.vietā, kamēr Igaunija </w:t>
            </w:r>
            <w:r w:rsidR="006F40C4">
              <w:rPr>
                <w:rFonts w:ascii="Times New Roman" w:hAnsi="Times New Roman" w:cs="Times New Roman"/>
                <w:sz w:val="24"/>
                <w:szCs w:val="24"/>
              </w:rPr>
              <w:t>—</w:t>
            </w:r>
            <w:r w:rsidR="00023266">
              <w:rPr>
                <w:rFonts w:ascii="Times New Roman" w:hAnsi="Times New Roman" w:cs="Times New Roman"/>
                <w:sz w:val="24"/>
                <w:szCs w:val="24"/>
              </w:rPr>
              <w:t xml:space="preserve"> 22.vietā, bet Lietuva </w:t>
            </w:r>
            <w:r w:rsidR="006F40C4">
              <w:rPr>
                <w:rFonts w:ascii="Times New Roman" w:hAnsi="Times New Roman" w:cs="Times New Roman"/>
                <w:sz w:val="24"/>
                <w:szCs w:val="24"/>
              </w:rPr>
              <w:t>—</w:t>
            </w:r>
            <w:r w:rsidR="00023266">
              <w:rPr>
                <w:rFonts w:ascii="Times New Roman" w:hAnsi="Times New Roman" w:cs="Times New Roman"/>
                <w:sz w:val="24"/>
                <w:szCs w:val="24"/>
              </w:rPr>
              <w:t xml:space="preserve"> 17.vietā).</w:t>
            </w:r>
          </w:p>
          <w:p w14:paraId="64F97097" w14:textId="77777777" w:rsidR="00D464CA" w:rsidRPr="00946F6F" w:rsidRDefault="00D464CA" w:rsidP="00946F6F">
            <w:pPr>
              <w:pStyle w:val="ListParagraph"/>
              <w:ind w:left="0"/>
              <w:contextualSpacing w:val="0"/>
              <w:jc w:val="both"/>
              <w:rPr>
                <w:rFonts w:ascii="Times New Roman" w:hAnsi="Times New Roman" w:cs="Times New Roman"/>
                <w:sz w:val="24"/>
                <w:szCs w:val="24"/>
              </w:rPr>
            </w:pPr>
            <w:r w:rsidRPr="00946F6F">
              <w:rPr>
                <w:rFonts w:ascii="Times New Roman" w:hAnsi="Times New Roman" w:cs="Times New Roman"/>
                <w:sz w:val="24"/>
                <w:szCs w:val="24"/>
              </w:rPr>
              <w:t xml:space="preserve">Ārvalstu investoru padome Latvijā (turpmāk </w:t>
            </w:r>
            <w:r w:rsidR="006F40C4">
              <w:rPr>
                <w:rFonts w:ascii="Times New Roman" w:hAnsi="Times New Roman" w:cs="Times New Roman"/>
                <w:sz w:val="24"/>
                <w:szCs w:val="24"/>
              </w:rPr>
              <w:t>—</w:t>
            </w:r>
            <w:r w:rsidRPr="00946F6F">
              <w:rPr>
                <w:rFonts w:ascii="Times New Roman" w:hAnsi="Times New Roman" w:cs="Times New Roman"/>
                <w:sz w:val="24"/>
                <w:szCs w:val="24"/>
              </w:rPr>
              <w:t xml:space="preserve"> </w:t>
            </w:r>
            <w:r w:rsidR="006F40C4">
              <w:rPr>
                <w:rFonts w:ascii="Times New Roman" w:hAnsi="Times New Roman" w:cs="Times New Roman"/>
                <w:sz w:val="24"/>
                <w:szCs w:val="24"/>
              </w:rPr>
              <w:t>„</w:t>
            </w:r>
            <w:r w:rsidRPr="00946F6F">
              <w:rPr>
                <w:rFonts w:ascii="Times New Roman" w:hAnsi="Times New Roman" w:cs="Times New Roman"/>
                <w:sz w:val="24"/>
                <w:szCs w:val="24"/>
              </w:rPr>
              <w:t>ĀIPL</w:t>
            </w:r>
            <w:r w:rsidR="006F40C4">
              <w:rPr>
                <w:rFonts w:ascii="Times New Roman" w:hAnsi="Times New Roman" w:cs="Times New Roman"/>
                <w:sz w:val="24"/>
                <w:szCs w:val="24"/>
              </w:rPr>
              <w:t>”</w:t>
            </w:r>
            <w:r w:rsidRPr="00946F6F">
              <w:rPr>
                <w:rFonts w:ascii="Times New Roman" w:hAnsi="Times New Roman" w:cs="Times New Roman"/>
                <w:sz w:val="24"/>
                <w:szCs w:val="24"/>
              </w:rPr>
              <w:t xml:space="preserve">) </w:t>
            </w:r>
            <w:r w:rsidR="00170F48" w:rsidRPr="00946F6F">
              <w:rPr>
                <w:rFonts w:ascii="Times New Roman" w:hAnsi="Times New Roman" w:cs="Times New Roman"/>
                <w:sz w:val="24"/>
                <w:szCs w:val="24"/>
              </w:rPr>
              <w:t>uzsver</w:t>
            </w:r>
            <w:r w:rsidRPr="00946F6F">
              <w:rPr>
                <w:rFonts w:ascii="Times New Roman" w:hAnsi="Times New Roman" w:cs="Times New Roman"/>
                <w:sz w:val="24"/>
                <w:szCs w:val="24"/>
              </w:rPr>
              <w:t>, ka drošību garantējošas un efektīvas tiesību aizsardzības un piemērošanas sistēmas esamība valstī ir viens no galvenajiem kritērijiem investēšanas lēmuma pieņemšanā. Nepārskatāma uzņēmējdarbības vide un nestabilitāte kopumā kavē investīciju piesaisti. Šajā saistībā būtu turpināms ne tikai darbs pie darījumu un tiesiskās apgrozības drošības veicināšanas, holdingu regulējuma pilnveidošanas un tiesu sistēmas efektivizācijas, bet arī normatīvā regulējuma stabilitātes veicināšanas un plašākas ieinteresēto pušu, nozares profesionāļu un sabiedrības iesaistīša</w:t>
            </w:r>
            <w:r w:rsidR="00023266">
              <w:rPr>
                <w:rFonts w:ascii="Times New Roman" w:hAnsi="Times New Roman" w:cs="Times New Roman"/>
                <w:sz w:val="24"/>
                <w:szCs w:val="24"/>
              </w:rPr>
              <w:t>nas likumdošanas procesā. Bieži</w:t>
            </w:r>
            <w:r w:rsidRPr="00946F6F">
              <w:rPr>
                <w:rFonts w:ascii="Times New Roman" w:hAnsi="Times New Roman" w:cs="Times New Roman"/>
                <w:sz w:val="24"/>
                <w:szCs w:val="24"/>
              </w:rPr>
              <w:t xml:space="preserve"> sasteigti un neizdiskutēti normatīvo aktu grozījumi var radīt nevēlamu priekšstatu par Latviju kā par nedrošu investīciju vidi. Savukārt kvalitatīvs un paredzams likumdošanas process un speciālistu vidē savlaicīgi izdiskutēti normatīvo aktu grozījumu projekti mazina nepieciešamību pēc biežiem normatīvo aktu grozījumiem un rada pārliecību par turpmāko tiesību politikas attīstības stabilitāti.</w:t>
            </w:r>
          </w:p>
          <w:p w14:paraId="50613688" w14:textId="77777777" w:rsidR="00DF2F3E" w:rsidRPr="00946F6F" w:rsidRDefault="009060FF" w:rsidP="00946F6F">
            <w:pPr>
              <w:pStyle w:val="ListParagraph"/>
              <w:ind w:left="0"/>
              <w:contextualSpacing w:val="0"/>
              <w:jc w:val="both"/>
              <w:rPr>
                <w:rFonts w:ascii="Times New Roman" w:hAnsi="Times New Roman" w:cs="Times New Roman"/>
                <w:sz w:val="24"/>
                <w:szCs w:val="24"/>
              </w:rPr>
            </w:pPr>
            <w:r w:rsidRPr="00946F6F">
              <w:rPr>
                <w:rFonts w:ascii="Times New Roman" w:hAnsi="Times New Roman" w:cs="Times New Roman"/>
                <w:sz w:val="24"/>
                <w:szCs w:val="24"/>
              </w:rPr>
              <w:t>Plānojot nākotnes investīcijas, j</w:t>
            </w:r>
            <w:r w:rsidR="00D464CA" w:rsidRPr="00946F6F">
              <w:rPr>
                <w:rFonts w:ascii="Times New Roman" w:hAnsi="Times New Roman" w:cs="Times New Roman"/>
                <w:sz w:val="24"/>
                <w:szCs w:val="24"/>
              </w:rPr>
              <w:t xml:space="preserve">ebkurš </w:t>
            </w:r>
            <w:r w:rsidR="00170F48" w:rsidRPr="00946F6F">
              <w:rPr>
                <w:rFonts w:ascii="Times New Roman" w:hAnsi="Times New Roman" w:cs="Times New Roman"/>
                <w:sz w:val="24"/>
                <w:szCs w:val="24"/>
              </w:rPr>
              <w:t xml:space="preserve">investors vienmēr izvērtēs </w:t>
            </w:r>
            <w:r w:rsidR="00D464CA" w:rsidRPr="00946F6F">
              <w:rPr>
                <w:rFonts w:ascii="Times New Roman" w:hAnsi="Times New Roman" w:cs="Times New Roman"/>
                <w:sz w:val="24"/>
                <w:szCs w:val="24"/>
              </w:rPr>
              <w:t>un atzinīgi novērtēs</w:t>
            </w:r>
            <w:r w:rsidR="00170F48" w:rsidRPr="00946F6F">
              <w:rPr>
                <w:rFonts w:ascii="Times New Roman" w:hAnsi="Times New Roman" w:cs="Times New Roman"/>
                <w:sz w:val="24"/>
                <w:szCs w:val="24"/>
              </w:rPr>
              <w:t xml:space="preserve"> </w:t>
            </w:r>
            <w:r w:rsidR="00D464CA" w:rsidRPr="00946F6F">
              <w:rPr>
                <w:rFonts w:ascii="Times New Roman" w:hAnsi="Times New Roman" w:cs="Times New Roman"/>
                <w:sz w:val="24"/>
                <w:szCs w:val="24"/>
              </w:rPr>
              <w:t>valsts normatīv</w:t>
            </w:r>
            <w:r w:rsidR="00170F48" w:rsidRPr="00946F6F">
              <w:rPr>
                <w:rFonts w:ascii="Times New Roman" w:hAnsi="Times New Roman" w:cs="Times New Roman"/>
                <w:sz w:val="24"/>
                <w:szCs w:val="24"/>
              </w:rPr>
              <w:t>o</w:t>
            </w:r>
            <w:r w:rsidR="00D464CA" w:rsidRPr="00946F6F">
              <w:rPr>
                <w:rFonts w:ascii="Times New Roman" w:hAnsi="Times New Roman" w:cs="Times New Roman"/>
                <w:sz w:val="24"/>
                <w:szCs w:val="24"/>
              </w:rPr>
              <w:t xml:space="preserve"> regulējum</w:t>
            </w:r>
            <w:r w:rsidR="00170F48" w:rsidRPr="00946F6F">
              <w:rPr>
                <w:rFonts w:ascii="Times New Roman" w:hAnsi="Times New Roman" w:cs="Times New Roman"/>
                <w:sz w:val="24"/>
                <w:szCs w:val="24"/>
              </w:rPr>
              <w:t>u</w:t>
            </w:r>
            <w:r w:rsidR="00D464CA" w:rsidRPr="00946F6F">
              <w:rPr>
                <w:rFonts w:ascii="Times New Roman" w:hAnsi="Times New Roman" w:cs="Times New Roman"/>
                <w:sz w:val="24"/>
                <w:szCs w:val="24"/>
              </w:rPr>
              <w:t xml:space="preserve"> un tā stabilitāt</w:t>
            </w:r>
            <w:r w:rsidR="00170F48" w:rsidRPr="00946F6F">
              <w:rPr>
                <w:rFonts w:ascii="Times New Roman" w:hAnsi="Times New Roman" w:cs="Times New Roman"/>
                <w:sz w:val="24"/>
                <w:szCs w:val="24"/>
              </w:rPr>
              <w:t>i</w:t>
            </w:r>
            <w:r w:rsidR="00D464CA" w:rsidRPr="00946F6F">
              <w:rPr>
                <w:rFonts w:ascii="Times New Roman" w:hAnsi="Times New Roman" w:cs="Times New Roman"/>
                <w:sz w:val="24"/>
                <w:szCs w:val="24"/>
              </w:rPr>
              <w:t>, valsts nodokļu politik</w:t>
            </w:r>
            <w:r w:rsidR="00170F48" w:rsidRPr="00946F6F">
              <w:rPr>
                <w:rFonts w:ascii="Times New Roman" w:hAnsi="Times New Roman" w:cs="Times New Roman"/>
                <w:sz w:val="24"/>
                <w:szCs w:val="24"/>
              </w:rPr>
              <w:t>u</w:t>
            </w:r>
            <w:r w:rsidR="00D464CA" w:rsidRPr="00946F6F">
              <w:rPr>
                <w:rFonts w:ascii="Times New Roman" w:hAnsi="Times New Roman" w:cs="Times New Roman"/>
                <w:sz w:val="24"/>
                <w:szCs w:val="24"/>
              </w:rPr>
              <w:t xml:space="preserve"> un tās prognozējamīb</w:t>
            </w:r>
            <w:r w:rsidR="00170F48" w:rsidRPr="00946F6F">
              <w:rPr>
                <w:rFonts w:ascii="Times New Roman" w:hAnsi="Times New Roman" w:cs="Times New Roman"/>
                <w:sz w:val="24"/>
                <w:szCs w:val="24"/>
              </w:rPr>
              <w:t>u</w:t>
            </w:r>
            <w:r w:rsidR="00D464CA" w:rsidRPr="00946F6F">
              <w:rPr>
                <w:rFonts w:ascii="Times New Roman" w:hAnsi="Times New Roman" w:cs="Times New Roman"/>
                <w:sz w:val="24"/>
                <w:szCs w:val="24"/>
              </w:rPr>
              <w:t>, kā arī tiesību aizsardzības līdzekļu izmantošanas efektivitāt</w:t>
            </w:r>
            <w:r w:rsidR="00170F48" w:rsidRPr="00946F6F">
              <w:rPr>
                <w:rFonts w:ascii="Times New Roman" w:hAnsi="Times New Roman" w:cs="Times New Roman"/>
                <w:sz w:val="24"/>
                <w:szCs w:val="24"/>
              </w:rPr>
              <w:t>i</w:t>
            </w:r>
            <w:r w:rsidR="00D464CA" w:rsidRPr="00946F6F">
              <w:rPr>
                <w:rFonts w:ascii="Times New Roman" w:hAnsi="Times New Roman" w:cs="Times New Roman"/>
                <w:sz w:val="24"/>
                <w:szCs w:val="24"/>
              </w:rPr>
              <w:t>. Savukārt investoru interešu ievērošana un iegūto</w:t>
            </w:r>
            <w:r w:rsidR="00170F48" w:rsidRPr="00946F6F">
              <w:rPr>
                <w:rFonts w:ascii="Times New Roman" w:hAnsi="Times New Roman" w:cs="Times New Roman"/>
                <w:sz w:val="24"/>
                <w:szCs w:val="24"/>
              </w:rPr>
              <w:t xml:space="preserve"> interešu</w:t>
            </w:r>
            <w:r w:rsidR="00D464CA" w:rsidRPr="00946F6F">
              <w:rPr>
                <w:rFonts w:ascii="Times New Roman" w:hAnsi="Times New Roman" w:cs="Times New Roman"/>
                <w:sz w:val="24"/>
                <w:szCs w:val="24"/>
              </w:rPr>
              <w:t xml:space="preserve"> aizsardzība ir viens no faktoriem, kas būtu jāņem vērā valstij, pieņemot vai grozot jau esošo normatīvo regulējumu, lai izvairītos no iespējas tik</w:t>
            </w:r>
            <w:r w:rsidR="00B35152">
              <w:rPr>
                <w:rFonts w:ascii="Times New Roman" w:hAnsi="Times New Roman" w:cs="Times New Roman"/>
                <w:sz w:val="24"/>
                <w:szCs w:val="24"/>
              </w:rPr>
              <w:t>t</w:t>
            </w:r>
            <w:r w:rsidR="00D464CA" w:rsidRPr="00946F6F">
              <w:rPr>
                <w:rFonts w:ascii="Times New Roman" w:hAnsi="Times New Roman" w:cs="Times New Roman"/>
                <w:sz w:val="24"/>
                <w:szCs w:val="24"/>
              </w:rPr>
              <w:t xml:space="preserve"> iesaistītai garā un arī izmaksu ziņā nepatīkamā tiesvedības procesā.</w:t>
            </w:r>
          </w:p>
          <w:p w14:paraId="3C75EBE7" w14:textId="77777777" w:rsidR="009B1097" w:rsidRPr="00946F6F" w:rsidRDefault="00D464CA" w:rsidP="00946F6F">
            <w:pPr>
              <w:pStyle w:val="ListParagraph"/>
              <w:ind w:left="0"/>
              <w:contextualSpacing w:val="0"/>
              <w:jc w:val="both"/>
              <w:rPr>
                <w:rFonts w:ascii="Times New Roman" w:hAnsi="Times New Roman" w:cs="Times New Roman"/>
                <w:sz w:val="24"/>
                <w:szCs w:val="24"/>
              </w:rPr>
            </w:pPr>
            <w:r w:rsidRPr="00946F6F">
              <w:rPr>
                <w:rFonts w:ascii="Times New Roman" w:hAnsi="Times New Roman" w:cs="Times New Roman"/>
                <w:sz w:val="24"/>
                <w:szCs w:val="24"/>
              </w:rPr>
              <w:t xml:space="preserve">Šajā saistībā ĀIPL darba grupa savā ikgadējā Pozīcijas ziņojumā ir pievērsusies investīciju </w:t>
            </w:r>
            <w:r w:rsidRPr="00946F6F">
              <w:rPr>
                <w:rFonts w:ascii="Times New Roman" w:hAnsi="Times New Roman" w:cs="Times New Roman"/>
                <w:sz w:val="24"/>
                <w:szCs w:val="24"/>
              </w:rPr>
              <w:lastRenderedPageBreak/>
              <w:t>drošības un aizsardzības veicināšanas veidiem, apskatot tādus jautājumus kā:</w:t>
            </w:r>
          </w:p>
          <w:p w14:paraId="12E7D75C" w14:textId="77777777" w:rsidR="00273726" w:rsidRPr="00946F6F" w:rsidRDefault="00273726" w:rsidP="00023266">
            <w:pPr>
              <w:pStyle w:val="ListParagraph"/>
              <w:keepNext/>
              <w:keepLines/>
              <w:numPr>
                <w:ilvl w:val="0"/>
                <w:numId w:val="3"/>
              </w:numPr>
              <w:spacing w:before="200"/>
              <w:ind w:left="567" w:hanging="567"/>
              <w:contextualSpacing w:val="0"/>
              <w:jc w:val="both"/>
              <w:rPr>
                <w:rFonts w:ascii="Times New Roman" w:hAnsi="Times New Roman" w:cs="Times New Roman"/>
                <w:b/>
                <w:sz w:val="24"/>
                <w:szCs w:val="24"/>
              </w:rPr>
            </w:pPr>
            <w:r w:rsidRPr="00946F6F">
              <w:rPr>
                <w:rFonts w:ascii="Times New Roman" w:hAnsi="Times New Roman" w:cs="Times New Roman"/>
                <w:b/>
                <w:sz w:val="24"/>
                <w:szCs w:val="24"/>
              </w:rPr>
              <w:t>Komerctiesību sadaļā:</w:t>
            </w:r>
          </w:p>
          <w:p w14:paraId="633DA11D" w14:textId="77777777" w:rsidR="00273726" w:rsidRPr="00946F6F" w:rsidRDefault="00B47C59" w:rsidP="00BC3533">
            <w:pPr>
              <w:pStyle w:val="ListParagraph"/>
              <w:keepNext/>
              <w:numPr>
                <w:ilvl w:val="1"/>
                <w:numId w:val="3"/>
              </w:numPr>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d</w:t>
            </w:r>
            <w:r w:rsidR="00273726" w:rsidRPr="00946F6F">
              <w:rPr>
                <w:rFonts w:ascii="Times New Roman" w:hAnsi="Times New Roman" w:cs="Times New Roman"/>
                <w:sz w:val="24"/>
                <w:szCs w:val="24"/>
              </w:rPr>
              <w:t>arījumu drošība un saistošais spēks kontekstā ar būtiskām normatīvā regulējuma izmaiņām;</w:t>
            </w:r>
          </w:p>
          <w:p w14:paraId="4E5AB452" w14:textId="77777777" w:rsidR="00273726" w:rsidRPr="00946F6F" w:rsidRDefault="00B47C59" w:rsidP="00BC3533">
            <w:pPr>
              <w:pStyle w:val="ListParagraph"/>
              <w:numPr>
                <w:ilvl w:val="1"/>
                <w:numId w:val="3"/>
              </w:numPr>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k</w:t>
            </w:r>
            <w:r w:rsidR="00273726" w:rsidRPr="00946F6F">
              <w:rPr>
                <w:rFonts w:ascii="Times New Roman" w:hAnsi="Times New Roman" w:cs="Times New Roman"/>
                <w:sz w:val="24"/>
                <w:szCs w:val="24"/>
              </w:rPr>
              <w:t xml:space="preserve">apitāldaļu reģistra vešanas kārtības pilnveidošanas iespējas; </w:t>
            </w:r>
          </w:p>
          <w:p w14:paraId="08C47F04" w14:textId="77777777" w:rsidR="00273726" w:rsidRPr="00946F6F" w:rsidRDefault="00B47C59" w:rsidP="00BC3533">
            <w:pPr>
              <w:pStyle w:val="ListParagraph"/>
              <w:numPr>
                <w:ilvl w:val="1"/>
                <w:numId w:val="3"/>
              </w:numPr>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n</w:t>
            </w:r>
            <w:r w:rsidR="00273726" w:rsidRPr="00946F6F">
              <w:rPr>
                <w:rFonts w:ascii="Times New Roman" w:hAnsi="Times New Roman" w:cs="Times New Roman"/>
                <w:sz w:val="24"/>
                <w:szCs w:val="24"/>
              </w:rPr>
              <w:t>ormatīvā regulējuma trūkums attiecībā uz kreditoru aizsardzību sabiedrības vajadzībām nepieciešamā nekustamā īpašuma atsavināšanas procesā;</w:t>
            </w:r>
          </w:p>
          <w:p w14:paraId="75496C08" w14:textId="77777777" w:rsidR="00273726" w:rsidRPr="00946F6F" w:rsidRDefault="00B47C59" w:rsidP="00BC3533">
            <w:pPr>
              <w:pStyle w:val="ListParagraph"/>
              <w:numPr>
                <w:ilvl w:val="1"/>
                <w:numId w:val="3"/>
              </w:numPr>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g</w:t>
            </w:r>
            <w:r w:rsidR="00273726" w:rsidRPr="00946F6F">
              <w:rPr>
                <w:rFonts w:ascii="Times New Roman" w:hAnsi="Times New Roman" w:cs="Times New Roman"/>
                <w:sz w:val="24"/>
                <w:szCs w:val="24"/>
              </w:rPr>
              <w:t xml:space="preserve">rozījumi likumā „Par uzņēmumu ienākuma nodokli” saistībā </w:t>
            </w:r>
            <w:r w:rsidR="00150F94">
              <w:rPr>
                <w:rFonts w:ascii="Times New Roman" w:hAnsi="Times New Roman" w:cs="Times New Roman"/>
                <w:sz w:val="24"/>
                <w:szCs w:val="24"/>
              </w:rPr>
              <w:t xml:space="preserve">ar </w:t>
            </w:r>
            <w:r w:rsidR="00273726" w:rsidRPr="00946F6F">
              <w:rPr>
                <w:rFonts w:ascii="Times New Roman" w:hAnsi="Times New Roman" w:cs="Times New Roman"/>
                <w:sz w:val="24"/>
                <w:szCs w:val="24"/>
              </w:rPr>
              <w:t>likvidēto iespēju pārnest zaudējumus uzņēmumu grupās un to negatīvā ietekme uz holdingu režīmu;</w:t>
            </w:r>
          </w:p>
          <w:p w14:paraId="1CC255DC" w14:textId="77777777" w:rsidR="00273726" w:rsidRPr="00946F6F" w:rsidRDefault="00B47C59" w:rsidP="00BC3533">
            <w:pPr>
              <w:pStyle w:val="ListParagraph"/>
              <w:numPr>
                <w:ilvl w:val="1"/>
                <w:numId w:val="3"/>
              </w:numPr>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e</w:t>
            </w:r>
            <w:r w:rsidR="00273726" w:rsidRPr="00946F6F">
              <w:rPr>
                <w:rFonts w:ascii="Times New Roman" w:hAnsi="Times New Roman" w:cs="Times New Roman"/>
                <w:sz w:val="24"/>
                <w:szCs w:val="24"/>
              </w:rPr>
              <w:t>lektroniskā paraksta izmantošana pārrobežu līmenī;</w:t>
            </w:r>
          </w:p>
          <w:p w14:paraId="6664A293" w14:textId="77777777" w:rsidR="00273726" w:rsidRPr="00946F6F" w:rsidRDefault="00B47C59" w:rsidP="00BC3533">
            <w:pPr>
              <w:pStyle w:val="ListParagraph"/>
              <w:numPr>
                <w:ilvl w:val="1"/>
                <w:numId w:val="3"/>
              </w:numPr>
              <w:ind w:left="567" w:hanging="567"/>
              <w:contextualSpacing w:val="0"/>
              <w:jc w:val="both"/>
              <w:rPr>
                <w:rFonts w:ascii="Times New Roman" w:hAnsi="Times New Roman" w:cs="Times New Roman"/>
                <w:color w:val="000000"/>
                <w:sz w:val="24"/>
                <w:szCs w:val="24"/>
              </w:rPr>
            </w:pPr>
            <w:r>
              <w:rPr>
                <w:rFonts w:ascii="Times New Roman" w:hAnsi="Times New Roman" w:cs="Times New Roman"/>
                <w:sz w:val="24"/>
                <w:szCs w:val="24"/>
              </w:rPr>
              <w:t>s</w:t>
            </w:r>
            <w:r w:rsidR="00273726" w:rsidRPr="00946F6F">
              <w:rPr>
                <w:rFonts w:ascii="Times New Roman" w:hAnsi="Times New Roman" w:cs="Times New Roman"/>
                <w:sz w:val="24"/>
                <w:szCs w:val="24"/>
              </w:rPr>
              <w:t>abiedrību korporatīvās pārvaldības regulējuma pilnveide un akcionāru</w:t>
            </w:r>
            <w:r w:rsidR="00E632F4">
              <w:rPr>
                <w:rFonts w:ascii="Times New Roman" w:hAnsi="Times New Roman" w:cs="Times New Roman"/>
                <w:sz w:val="24"/>
                <w:szCs w:val="24"/>
              </w:rPr>
              <w:t xml:space="preserve"> tiesību aizsardzības mehānismi:</w:t>
            </w:r>
          </w:p>
          <w:p w14:paraId="3DBDD072" w14:textId="77777777" w:rsidR="00273726" w:rsidRPr="00946F6F" w:rsidRDefault="00B47C59" w:rsidP="00023266">
            <w:pPr>
              <w:numPr>
                <w:ilvl w:val="2"/>
                <w:numId w:val="3"/>
              </w:numPr>
              <w:spacing w:after="200" w:line="276" w:lineRule="auto"/>
              <w:ind w:left="709" w:hanging="709"/>
              <w:jc w:val="both"/>
              <w:rPr>
                <w:color w:val="000000"/>
                <w:sz w:val="24"/>
                <w:szCs w:val="24"/>
                <w:lang w:val="lv-LV"/>
              </w:rPr>
            </w:pPr>
            <w:r>
              <w:rPr>
                <w:color w:val="000000"/>
                <w:sz w:val="24"/>
                <w:szCs w:val="24"/>
                <w:lang w:val="lv-LV"/>
              </w:rPr>
              <w:t>k</w:t>
            </w:r>
            <w:r w:rsidR="00273726" w:rsidRPr="00946F6F">
              <w:rPr>
                <w:color w:val="000000"/>
                <w:sz w:val="24"/>
                <w:szCs w:val="24"/>
                <w:lang w:val="lv-LV"/>
              </w:rPr>
              <w:t>omerclikuma noteikumiem par kapitālsabiedrībām piešķirams imperatīvu normu spēks;</w:t>
            </w:r>
          </w:p>
          <w:p w14:paraId="35F28699" w14:textId="77777777" w:rsidR="00273726" w:rsidRPr="00946F6F" w:rsidRDefault="00B47C59" w:rsidP="00023266">
            <w:pPr>
              <w:numPr>
                <w:ilvl w:val="2"/>
                <w:numId w:val="3"/>
              </w:numPr>
              <w:spacing w:after="200" w:line="276" w:lineRule="auto"/>
              <w:ind w:left="709" w:hanging="709"/>
              <w:jc w:val="both"/>
              <w:rPr>
                <w:color w:val="000000"/>
                <w:sz w:val="24"/>
                <w:szCs w:val="24"/>
                <w:lang w:val="lv-LV"/>
              </w:rPr>
            </w:pPr>
            <w:r>
              <w:rPr>
                <w:color w:val="000000"/>
                <w:sz w:val="24"/>
                <w:szCs w:val="24"/>
                <w:lang w:val="lv-LV"/>
              </w:rPr>
              <w:t>k</w:t>
            </w:r>
            <w:r w:rsidR="00273726" w:rsidRPr="00946F6F">
              <w:rPr>
                <w:color w:val="000000"/>
                <w:sz w:val="24"/>
                <w:szCs w:val="24"/>
                <w:lang w:val="lv-LV"/>
              </w:rPr>
              <w:t>omerclikumā iekļaujami noteikumi, kas noteiktu kapitālsabiedrību dalībnieku līgumu spēku, sekas un izpildāmību u.c. aspektus;</w:t>
            </w:r>
          </w:p>
          <w:p w14:paraId="3422659D" w14:textId="77777777" w:rsidR="00273726" w:rsidRPr="00886B4E" w:rsidRDefault="00B47C59" w:rsidP="00023266">
            <w:pPr>
              <w:numPr>
                <w:ilvl w:val="2"/>
                <w:numId w:val="3"/>
              </w:numPr>
              <w:spacing w:after="200" w:line="276" w:lineRule="auto"/>
              <w:ind w:left="709" w:hanging="709"/>
              <w:jc w:val="both"/>
              <w:rPr>
                <w:color w:val="000000"/>
                <w:sz w:val="24"/>
                <w:szCs w:val="24"/>
                <w:lang w:val="lv-LV"/>
              </w:rPr>
            </w:pPr>
            <w:r>
              <w:rPr>
                <w:color w:val="000000"/>
                <w:sz w:val="24"/>
                <w:szCs w:val="24"/>
                <w:lang w:val="lv-LV"/>
              </w:rPr>
              <w:t>u</w:t>
            </w:r>
            <w:r w:rsidR="00273726" w:rsidRPr="00946F6F">
              <w:rPr>
                <w:color w:val="000000"/>
                <w:sz w:val="24"/>
                <w:szCs w:val="24"/>
                <w:lang w:val="lv-LV"/>
              </w:rPr>
              <w:t>zņēmuma reģistra likumā iekļaujamas Uzņēmuma reģistra valsts notāra tiesības pārbaudīt reģistrācijai komercreģistrā pieteikto ziņu pareizību pēc būtības</w:t>
            </w:r>
            <w:r w:rsidR="00150F94">
              <w:rPr>
                <w:color w:val="000000"/>
                <w:sz w:val="24"/>
                <w:szCs w:val="24"/>
                <w:lang w:val="lv-LV"/>
              </w:rPr>
              <w:t>.</w:t>
            </w:r>
          </w:p>
          <w:p w14:paraId="26A0FD32" w14:textId="77777777" w:rsidR="00273726" w:rsidRPr="00946F6F" w:rsidRDefault="00273726" w:rsidP="00BC3533">
            <w:pPr>
              <w:numPr>
                <w:ilvl w:val="0"/>
                <w:numId w:val="3"/>
              </w:numPr>
              <w:spacing w:after="200" w:line="276" w:lineRule="auto"/>
              <w:ind w:left="567" w:hanging="567"/>
              <w:jc w:val="both"/>
              <w:rPr>
                <w:sz w:val="24"/>
                <w:szCs w:val="24"/>
                <w:lang w:val="lv-LV"/>
              </w:rPr>
            </w:pPr>
            <w:r w:rsidRPr="00946F6F">
              <w:rPr>
                <w:b/>
                <w:sz w:val="24"/>
                <w:szCs w:val="24"/>
                <w:lang w:val="lv-LV"/>
              </w:rPr>
              <w:t>Tiesu sistēmas jautājumi</w:t>
            </w:r>
            <w:r w:rsidRPr="00150F94">
              <w:rPr>
                <w:b/>
                <w:sz w:val="24"/>
                <w:szCs w:val="24"/>
                <w:lang w:val="lv-LV"/>
              </w:rPr>
              <w:t>:</w:t>
            </w:r>
          </w:p>
          <w:p w14:paraId="091E33BF" w14:textId="77777777" w:rsidR="00273726" w:rsidRPr="00946F6F" w:rsidRDefault="00B47C59" w:rsidP="00BC3533">
            <w:pPr>
              <w:pStyle w:val="tv213"/>
              <w:numPr>
                <w:ilvl w:val="1"/>
                <w:numId w:val="3"/>
              </w:numPr>
              <w:spacing w:after="200" w:afterAutospacing="0" w:line="276" w:lineRule="auto"/>
              <w:ind w:left="567" w:hanging="567"/>
              <w:jc w:val="both"/>
              <w:rPr>
                <w:bCs/>
              </w:rPr>
            </w:pPr>
            <w:r>
              <w:rPr>
                <w:bCs/>
              </w:rPr>
              <w:t>s</w:t>
            </w:r>
            <w:r w:rsidR="00273726" w:rsidRPr="00946F6F">
              <w:rPr>
                <w:bCs/>
              </w:rPr>
              <w:t xml:space="preserve">pecializētas komerclietu nodaļas </w:t>
            </w:r>
            <w:r w:rsidR="00066954">
              <w:rPr>
                <w:bCs/>
              </w:rPr>
              <w:t>a</w:t>
            </w:r>
            <w:r w:rsidR="00D75ECF" w:rsidRPr="00946F6F">
              <w:rPr>
                <w:bCs/>
              </w:rPr>
              <w:t xml:space="preserve">pgabaltiesās un Augstākajā tiesā </w:t>
            </w:r>
            <w:r w:rsidR="00273726" w:rsidRPr="00946F6F">
              <w:rPr>
                <w:bCs/>
              </w:rPr>
              <w:t>un komercprocesa noteikumi;</w:t>
            </w:r>
          </w:p>
          <w:p w14:paraId="66B3CBEC" w14:textId="77777777" w:rsidR="00D464CA" w:rsidRDefault="00B47C59" w:rsidP="00BC3533">
            <w:pPr>
              <w:pStyle w:val="tv213"/>
              <w:numPr>
                <w:ilvl w:val="1"/>
                <w:numId w:val="3"/>
              </w:numPr>
              <w:spacing w:after="200" w:afterAutospacing="0" w:line="276" w:lineRule="auto"/>
              <w:ind w:left="567" w:hanging="567"/>
              <w:jc w:val="both"/>
              <w:rPr>
                <w:bCs/>
              </w:rPr>
            </w:pPr>
            <w:r>
              <w:rPr>
                <w:bCs/>
              </w:rPr>
              <w:t>a</w:t>
            </w:r>
            <w:r w:rsidR="00273726" w:rsidRPr="00946F6F">
              <w:rPr>
                <w:bCs/>
              </w:rPr>
              <w:t>dvokātu process civilprocesā p</w:t>
            </w:r>
            <w:r w:rsidR="00D75ECF" w:rsidRPr="00946F6F">
              <w:rPr>
                <w:bCs/>
              </w:rPr>
              <w:t>irmās un otrās instances tiesās kopsakarā ar nosacījumu uzņemšanai advokatūrā grozījumiem</w:t>
            </w:r>
            <w:r w:rsidR="00885374">
              <w:rPr>
                <w:bCs/>
              </w:rPr>
              <w:t>;</w:t>
            </w:r>
          </w:p>
          <w:p w14:paraId="1AA31D04" w14:textId="77777777" w:rsidR="00885374" w:rsidRPr="00886B4E" w:rsidRDefault="00885374" w:rsidP="00885374">
            <w:pPr>
              <w:pStyle w:val="tv213"/>
              <w:numPr>
                <w:ilvl w:val="1"/>
                <w:numId w:val="3"/>
              </w:numPr>
              <w:spacing w:after="200" w:afterAutospacing="0" w:line="276" w:lineRule="auto"/>
              <w:ind w:left="567" w:hanging="567"/>
              <w:jc w:val="both"/>
              <w:rPr>
                <w:bCs/>
              </w:rPr>
            </w:pPr>
            <w:r>
              <w:rPr>
                <w:bCs/>
              </w:rPr>
              <w:t>šķīrējtiesas līguma juridiskās sekas pamatsaistības cesijas gadījumā un iespējami izņēmumi no prasībām par šķīrējtiesnešu sertifikāciju.</w:t>
            </w:r>
          </w:p>
        </w:tc>
      </w:tr>
    </w:tbl>
    <w:bookmarkEnd w:id="0"/>
    <w:p w14:paraId="6199DF33" w14:textId="77777777" w:rsidR="006645EE" w:rsidRPr="00946F6F" w:rsidRDefault="006645EE" w:rsidP="00E52EAC">
      <w:pPr>
        <w:pStyle w:val="ColorfulList-Accent11"/>
        <w:numPr>
          <w:ilvl w:val="0"/>
          <w:numId w:val="2"/>
        </w:numPr>
        <w:spacing w:before="400"/>
        <w:ind w:left="709" w:hanging="709"/>
        <w:contextualSpacing w:val="0"/>
        <w:jc w:val="both"/>
        <w:rPr>
          <w:rFonts w:ascii="Times New Roman" w:hAnsi="Times New Roman"/>
          <w:b/>
          <w:sz w:val="24"/>
          <w:szCs w:val="24"/>
        </w:rPr>
      </w:pPr>
      <w:r w:rsidRPr="00946F6F">
        <w:rPr>
          <w:rFonts w:ascii="Times New Roman" w:hAnsi="Times New Roman"/>
          <w:b/>
          <w:sz w:val="24"/>
          <w:szCs w:val="24"/>
        </w:rPr>
        <w:lastRenderedPageBreak/>
        <w:t>Rekomendācijas</w:t>
      </w:r>
    </w:p>
    <w:tbl>
      <w:tblPr>
        <w:tblW w:w="0" w:type="auto"/>
        <w:jc w:val="center"/>
        <w:tblLayout w:type="fixed"/>
        <w:tblLook w:val="0000" w:firstRow="0" w:lastRow="0" w:firstColumn="0" w:lastColumn="0" w:noHBand="0" w:noVBand="0"/>
      </w:tblPr>
      <w:tblGrid>
        <w:gridCol w:w="9698"/>
      </w:tblGrid>
      <w:tr w:rsidR="006645EE" w:rsidRPr="00467DFC" w14:paraId="3BED18AB" w14:textId="77777777" w:rsidTr="00192326">
        <w:trPr>
          <w:jc w:val="center"/>
        </w:trPr>
        <w:tc>
          <w:tcPr>
            <w:tcW w:w="9698" w:type="dxa"/>
            <w:tcBorders>
              <w:top w:val="single" w:sz="8" w:space="0" w:color="000000"/>
              <w:left w:val="single" w:sz="8" w:space="0" w:color="000000"/>
              <w:bottom w:val="single" w:sz="8" w:space="0" w:color="000000"/>
              <w:right w:val="single" w:sz="8" w:space="0" w:color="000000"/>
            </w:tcBorders>
          </w:tcPr>
          <w:p w14:paraId="67149CA3" w14:textId="77777777" w:rsidR="00FC70F3" w:rsidRPr="00946F6F" w:rsidRDefault="00FC70F3" w:rsidP="00625F54">
            <w:pPr>
              <w:widowControl w:val="0"/>
              <w:spacing w:before="200" w:after="200" w:line="276" w:lineRule="auto"/>
              <w:jc w:val="both"/>
              <w:rPr>
                <w:sz w:val="24"/>
                <w:szCs w:val="24"/>
                <w:lang w:val="lv-LV"/>
              </w:rPr>
            </w:pPr>
            <w:r w:rsidRPr="00946F6F">
              <w:rPr>
                <w:sz w:val="24"/>
                <w:szCs w:val="24"/>
                <w:lang w:val="lv-LV"/>
              </w:rPr>
              <w:t>ĀIPL</w:t>
            </w:r>
            <w:r w:rsidR="005B3AD3" w:rsidRPr="00946F6F">
              <w:rPr>
                <w:sz w:val="24"/>
                <w:szCs w:val="24"/>
                <w:lang w:val="lv-LV"/>
              </w:rPr>
              <w:t xml:space="preserve"> investīciju drošības un aizsardzības</w:t>
            </w:r>
            <w:r w:rsidRPr="00946F6F">
              <w:rPr>
                <w:sz w:val="24"/>
                <w:szCs w:val="24"/>
                <w:lang w:val="lv-LV"/>
              </w:rPr>
              <w:t xml:space="preserve"> darba grupa ir nonākusi pie secinājumiem un priekšlikumiem attiecībā uz nepieciešamām izmaiņām</w:t>
            </w:r>
            <w:r w:rsidR="005B3AD3" w:rsidRPr="00946F6F">
              <w:rPr>
                <w:sz w:val="24"/>
                <w:szCs w:val="24"/>
                <w:lang w:val="lv-LV"/>
              </w:rPr>
              <w:t xml:space="preserve"> un ieteikumiem gan normatīvajā regulējumā, gan tā piemērošanā</w:t>
            </w:r>
            <w:r w:rsidRPr="00946F6F">
              <w:rPr>
                <w:sz w:val="24"/>
                <w:szCs w:val="24"/>
                <w:lang w:val="lv-LV"/>
              </w:rPr>
              <w:t xml:space="preserve">, lai pilnīgāk </w:t>
            </w:r>
            <w:r w:rsidR="005B3AD3" w:rsidRPr="00946F6F">
              <w:rPr>
                <w:sz w:val="24"/>
                <w:szCs w:val="24"/>
                <w:lang w:val="lv-LV"/>
              </w:rPr>
              <w:t>nodrošinātu investīciju drošību un aizsardzību un</w:t>
            </w:r>
            <w:r w:rsidRPr="00946F6F">
              <w:rPr>
                <w:sz w:val="24"/>
                <w:szCs w:val="24"/>
                <w:lang w:val="lv-LV"/>
              </w:rPr>
              <w:t xml:space="preserve"> </w:t>
            </w:r>
            <w:r w:rsidR="005B3AD3" w:rsidRPr="00946F6F">
              <w:rPr>
                <w:sz w:val="24"/>
                <w:szCs w:val="24"/>
                <w:lang w:val="lv-LV"/>
              </w:rPr>
              <w:t xml:space="preserve">kopumā </w:t>
            </w:r>
            <w:r w:rsidRPr="00946F6F">
              <w:rPr>
                <w:sz w:val="24"/>
                <w:szCs w:val="24"/>
                <w:lang w:val="lv-LV"/>
              </w:rPr>
              <w:t>uzlabotu uzņēmējdarbības vidi Latvijā</w:t>
            </w:r>
            <w:r w:rsidR="002D286E" w:rsidRPr="00946F6F">
              <w:rPr>
                <w:sz w:val="24"/>
                <w:szCs w:val="24"/>
                <w:lang w:val="lv-LV"/>
              </w:rPr>
              <w:t>.</w:t>
            </w:r>
          </w:p>
          <w:p w14:paraId="1CCA15C0" w14:textId="77777777" w:rsidR="001B7C39" w:rsidRPr="00946F6F" w:rsidRDefault="00FC70F3" w:rsidP="00F539AE">
            <w:pPr>
              <w:widowControl w:val="0"/>
              <w:spacing w:before="200" w:after="200" w:line="276" w:lineRule="auto"/>
              <w:jc w:val="both"/>
              <w:rPr>
                <w:sz w:val="24"/>
                <w:szCs w:val="24"/>
                <w:lang w:val="lv-LV"/>
              </w:rPr>
            </w:pPr>
            <w:r w:rsidRPr="00946F6F">
              <w:rPr>
                <w:sz w:val="24"/>
                <w:szCs w:val="24"/>
                <w:lang w:val="lv-LV"/>
              </w:rPr>
              <w:t>Šie secinājum</w:t>
            </w:r>
            <w:r w:rsidR="005B3AD3" w:rsidRPr="00946F6F">
              <w:rPr>
                <w:sz w:val="24"/>
                <w:szCs w:val="24"/>
                <w:lang w:val="lv-LV"/>
              </w:rPr>
              <w:t>i un priekšlikumi ir saistīti ar:</w:t>
            </w:r>
          </w:p>
          <w:p w14:paraId="0FB115E2" w14:textId="77777777" w:rsidR="000C3ED3" w:rsidRPr="00946F6F" w:rsidRDefault="000C3ED3" w:rsidP="00C0790B">
            <w:pPr>
              <w:numPr>
                <w:ilvl w:val="0"/>
                <w:numId w:val="10"/>
              </w:numPr>
              <w:spacing w:after="200" w:line="276" w:lineRule="auto"/>
              <w:ind w:left="425" w:hanging="425"/>
              <w:jc w:val="both"/>
              <w:rPr>
                <w:sz w:val="24"/>
                <w:szCs w:val="24"/>
                <w:lang w:val="lv-LV"/>
              </w:rPr>
            </w:pPr>
            <w:r w:rsidRPr="00946F6F">
              <w:rPr>
                <w:sz w:val="24"/>
                <w:szCs w:val="24"/>
                <w:lang w:val="lv-LV"/>
              </w:rPr>
              <w:t>normatīvo aktu pieņemšanas procesa pilnveidošanu (normatīvo aktu pilnīg</w:t>
            </w:r>
            <w:r w:rsidR="002D286E" w:rsidRPr="00946F6F">
              <w:rPr>
                <w:sz w:val="24"/>
                <w:szCs w:val="24"/>
                <w:lang w:val="lv-LV"/>
              </w:rPr>
              <w:t>u</w:t>
            </w:r>
            <w:r w:rsidRPr="00946F6F">
              <w:rPr>
                <w:sz w:val="24"/>
                <w:szCs w:val="24"/>
                <w:lang w:val="lv-LV"/>
              </w:rPr>
              <w:t xml:space="preserve"> saskaņošan</w:t>
            </w:r>
            <w:r w:rsidR="002D286E" w:rsidRPr="00946F6F">
              <w:rPr>
                <w:sz w:val="24"/>
                <w:szCs w:val="24"/>
                <w:lang w:val="lv-LV"/>
              </w:rPr>
              <w:t>u</w:t>
            </w:r>
            <w:r w:rsidRPr="00946F6F">
              <w:rPr>
                <w:sz w:val="24"/>
                <w:szCs w:val="24"/>
                <w:lang w:val="lv-LV"/>
              </w:rPr>
              <w:t xml:space="preserve">, </w:t>
            </w:r>
            <w:r w:rsidRPr="00946F6F">
              <w:rPr>
                <w:sz w:val="24"/>
                <w:szCs w:val="24"/>
                <w:lang w:val="lv-LV"/>
              </w:rPr>
              <w:lastRenderedPageBreak/>
              <w:t>n</w:t>
            </w:r>
            <w:r w:rsidR="002D286E" w:rsidRPr="00946F6F">
              <w:rPr>
                <w:sz w:val="24"/>
                <w:szCs w:val="24"/>
                <w:lang w:val="lv-LV"/>
              </w:rPr>
              <w:t>ormatīvā akta nesasteigtu</w:t>
            </w:r>
            <w:r w:rsidRPr="00946F6F">
              <w:rPr>
                <w:sz w:val="24"/>
                <w:szCs w:val="24"/>
                <w:lang w:val="lv-LV"/>
              </w:rPr>
              <w:t xml:space="preserve"> apspriešanas period</w:t>
            </w:r>
            <w:r w:rsidR="002D286E" w:rsidRPr="00946F6F">
              <w:rPr>
                <w:sz w:val="24"/>
                <w:szCs w:val="24"/>
                <w:lang w:val="lv-LV"/>
              </w:rPr>
              <w:t>u</w:t>
            </w:r>
            <w:r w:rsidRPr="00946F6F">
              <w:rPr>
                <w:sz w:val="24"/>
                <w:szCs w:val="24"/>
                <w:lang w:val="lv-LV"/>
              </w:rPr>
              <w:t>, izvēlēto līdzekļu atbilstības izvērtēšan</w:t>
            </w:r>
            <w:r w:rsidR="002D286E" w:rsidRPr="00946F6F">
              <w:rPr>
                <w:sz w:val="24"/>
                <w:szCs w:val="24"/>
                <w:lang w:val="lv-LV"/>
              </w:rPr>
              <w:t>u</w:t>
            </w:r>
            <w:r w:rsidR="00A0283B" w:rsidRPr="00946F6F">
              <w:rPr>
                <w:sz w:val="24"/>
                <w:szCs w:val="24"/>
                <w:lang w:val="lv-LV"/>
              </w:rPr>
              <w:t xml:space="preserve">, </w:t>
            </w:r>
            <w:r w:rsidRPr="00946F6F">
              <w:rPr>
                <w:sz w:val="24"/>
                <w:szCs w:val="24"/>
                <w:lang w:val="lv-LV"/>
              </w:rPr>
              <w:t>tiesību politikas plānošan</w:t>
            </w:r>
            <w:r w:rsidR="002D286E" w:rsidRPr="00946F6F">
              <w:rPr>
                <w:sz w:val="24"/>
                <w:szCs w:val="24"/>
                <w:lang w:val="lv-LV"/>
              </w:rPr>
              <w:t>u</w:t>
            </w:r>
            <w:r w:rsidRPr="00946F6F">
              <w:rPr>
                <w:sz w:val="24"/>
                <w:szCs w:val="24"/>
                <w:lang w:val="lv-LV"/>
              </w:rPr>
              <w:t>, saprātīg</w:t>
            </w:r>
            <w:r w:rsidR="002D286E" w:rsidRPr="00946F6F">
              <w:rPr>
                <w:sz w:val="24"/>
                <w:szCs w:val="24"/>
                <w:lang w:val="lv-LV"/>
              </w:rPr>
              <w:t>u</w:t>
            </w:r>
            <w:r w:rsidRPr="00946F6F">
              <w:rPr>
                <w:sz w:val="24"/>
                <w:szCs w:val="24"/>
                <w:lang w:val="lv-LV"/>
              </w:rPr>
              <w:t xml:space="preserve"> pārejas posma paredzēšan</w:t>
            </w:r>
            <w:r w:rsidR="002D286E" w:rsidRPr="00946F6F">
              <w:rPr>
                <w:sz w:val="24"/>
                <w:szCs w:val="24"/>
                <w:lang w:val="lv-LV"/>
              </w:rPr>
              <w:t>u</w:t>
            </w:r>
            <w:r w:rsidRPr="00946F6F">
              <w:rPr>
                <w:sz w:val="24"/>
                <w:szCs w:val="24"/>
                <w:lang w:val="lv-LV"/>
              </w:rPr>
              <w:t xml:space="preserve"> pārejai uz jauno normatīvo regulējumu, rūpīg</w:t>
            </w:r>
            <w:r w:rsidR="001A1A30">
              <w:rPr>
                <w:sz w:val="24"/>
                <w:szCs w:val="24"/>
                <w:lang w:val="lv-LV"/>
              </w:rPr>
              <w:t>i</w:t>
            </w:r>
            <w:r w:rsidRPr="00946F6F">
              <w:rPr>
                <w:sz w:val="24"/>
                <w:szCs w:val="24"/>
                <w:lang w:val="lv-LV"/>
              </w:rPr>
              <w:t xml:space="preserve"> izvērtē</w:t>
            </w:r>
            <w:r w:rsidR="00A0283B" w:rsidRPr="00946F6F">
              <w:rPr>
                <w:sz w:val="24"/>
                <w:szCs w:val="24"/>
                <w:lang w:val="lv-LV"/>
              </w:rPr>
              <w:t>jot,</w:t>
            </w:r>
            <w:r w:rsidRPr="00946F6F">
              <w:rPr>
                <w:sz w:val="24"/>
                <w:szCs w:val="24"/>
                <w:lang w:val="lv-LV"/>
              </w:rPr>
              <w:t xml:space="preserve"> pirms noteikt civiltiesisko apgrozību reglamentējošam normatīvam aktam tūlītēju vai retroaktīvu spēku</w:t>
            </w:r>
            <w:r w:rsidR="00A0283B" w:rsidRPr="00946F6F">
              <w:rPr>
                <w:sz w:val="24"/>
                <w:szCs w:val="24"/>
                <w:lang w:val="lv-LV"/>
              </w:rPr>
              <w:t>);</w:t>
            </w:r>
          </w:p>
          <w:p w14:paraId="17A13C3F" w14:textId="77777777" w:rsidR="002D286E" w:rsidRPr="00946F6F" w:rsidRDefault="002D286E" w:rsidP="00C0790B">
            <w:pPr>
              <w:pStyle w:val="ListParagraph"/>
              <w:numPr>
                <w:ilvl w:val="0"/>
                <w:numId w:val="10"/>
              </w:numPr>
              <w:ind w:left="425" w:hanging="425"/>
              <w:contextualSpacing w:val="0"/>
              <w:jc w:val="both"/>
              <w:rPr>
                <w:rFonts w:ascii="Times New Roman" w:hAnsi="Times New Roman" w:cs="Times New Roman"/>
                <w:sz w:val="24"/>
                <w:szCs w:val="24"/>
              </w:rPr>
            </w:pPr>
            <w:r w:rsidRPr="00946F6F">
              <w:rPr>
                <w:rFonts w:ascii="Times New Roman" w:hAnsi="Times New Roman" w:cs="Times New Roman"/>
                <w:sz w:val="24"/>
                <w:szCs w:val="24"/>
              </w:rPr>
              <w:t>Kapitāldaļu reģistra vešanas kārtības pilnveidošanas iespēju noteikšanu (piemēram, paredzot tiesības dalībnieku un akcionāru reģistra vešanas funkcijas nodošan</w:t>
            </w:r>
            <w:r w:rsidR="002F2833">
              <w:rPr>
                <w:rFonts w:ascii="Times New Roman" w:hAnsi="Times New Roman" w:cs="Times New Roman"/>
                <w:sz w:val="24"/>
                <w:szCs w:val="24"/>
              </w:rPr>
              <w:t>ai</w:t>
            </w:r>
            <w:r w:rsidRPr="00946F6F">
              <w:rPr>
                <w:rFonts w:ascii="Times New Roman" w:hAnsi="Times New Roman" w:cs="Times New Roman"/>
                <w:sz w:val="24"/>
                <w:szCs w:val="24"/>
              </w:rPr>
              <w:t xml:space="preserve"> trešajai personai (iestādei)</w:t>
            </w:r>
            <w:r w:rsidR="001A1A30">
              <w:rPr>
                <w:rFonts w:ascii="Times New Roman" w:hAnsi="Times New Roman" w:cs="Times New Roman"/>
                <w:sz w:val="24"/>
                <w:szCs w:val="24"/>
              </w:rPr>
              <w:t>)</w:t>
            </w:r>
            <w:r w:rsidRPr="00946F6F">
              <w:rPr>
                <w:rFonts w:ascii="Times New Roman" w:hAnsi="Times New Roman" w:cs="Times New Roman"/>
                <w:sz w:val="24"/>
                <w:szCs w:val="24"/>
              </w:rPr>
              <w:t>;</w:t>
            </w:r>
          </w:p>
          <w:p w14:paraId="1F90F8C2" w14:textId="77777777" w:rsidR="002D286E" w:rsidRPr="00946F6F" w:rsidRDefault="002D286E" w:rsidP="00C0790B">
            <w:pPr>
              <w:pStyle w:val="ListParagraph"/>
              <w:numPr>
                <w:ilvl w:val="0"/>
                <w:numId w:val="10"/>
              </w:numPr>
              <w:ind w:left="425" w:hanging="425"/>
              <w:contextualSpacing w:val="0"/>
              <w:jc w:val="both"/>
              <w:rPr>
                <w:rFonts w:ascii="Times New Roman" w:hAnsi="Times New Roman" w:cs="Times New Roman"/>
                <w:sz w:val="24"/>
                <w:szCs w:val="24"/>
              </w:rPr>
            </w:pPr>
            <w:r w:rsidRPr="00946F6F">
              <w:rPr>
                <w:rFonts w:ascii="Times New Roman" w:hAnsi="Times New Roman" w:cs="Times New Roman"/>
                <w:sz w:val="24"/>
                <w:szCs w:val="24"/>
              </w:rPr>
              <w:t>kreditoru aizsardzības nodrošināšanu sabiedrības vajadzībām nepieciešamā nekustamā īpašuma atsavināšanas procesā, paredzot to Sabiedrības vajadzībām nepieciešamā nekustamā īpašuma atsavināšanas likumā;</w:t>
            </w:r>
          </w:p>
          <w:p w14:paraId="17A3E2FA" w14:textId="77777777" w:rsidR="002D286E" w:rsidRPr="00946F6F" w:rsidRDefault="002D286E" w:rsidP="00C0790B">
            <w:pPr>
              <w:pStyle w:val="ListParagraph"/>
              <w:numPr>
                <w:ilvl w:val="0"/>
                <w:numId w:val="10"/>
              </w:numPr>
              <w:ind w:left="425" w:hanging="425"/>
              <w:contextualSpacing w:val="0"/>
              <w:jc w:val="both"/>
              <w:rPr>
                <w:rFonts w:ascii="Times New Roman" w:hAnsi="Times New Roman" w:cs="Times New Roman"/>
                <w:sz w:val="24"/>
                <w:szCs w:val="24"/>
              </w:rPr>
            </w:pPr>
            <w:r w:rsidRPr="00946F6F">
              <w:rPr>
                <w:rFonts w:ascii="Times New Roman" w:hAnsi="Times New Roman" w:cs="Times New Roman"/>
                <w:sz w:val="24"/>
                <w:szCs w:val="24"/>
              </w:rPr>
              <w:t>grozījumiem likumā „Par uzņēmumu ienākuma nodokli”</w:t>
            </w:r>
            <w:r w:rsidR="00E632F4">
              <w:rPr>
                <w:rFonts w:ascii="Times New Roman" w:hAnsi="Times New Roman" w:cs="Times New Roman"/>
                <w:sz w:val="24"/>
                <w:szCs w:val="24"/>
              </w:rPr>
              <w:t>, atkārtoti ieviešot</w:t>
            </w:r>
            <w:r w:rsidRPr="00946F6F">
              <w:rPr>
                <w:rFonts w:ascii="Times New Roman" w:hAnsi="Times New Roman" w:cs="Times New Roman"/>
                <w:sz w:val="24"/>
                <w:szCs w:val="24"/>
              </w:rPr>
              <w:t xml:space="preserve"> iespēju pārnest zaudējumus uzņēmumu grupā;</w:t>
            </w:r>
          </w:p>
          <w:p w14:paraId="054742A7" w14:textId="77777777" w:rsidR="002D286E" w:rsidRPr="00946F6F" w:rsidRDefault="002D286E" w:rsidP="00C0790B">
            <w:pPr>
              <w:pStyle w:val="ListParagraph"/>
              <w:numPr>
                <w:ilvl w:val="0"/>
                <w:numId w:val="10"/>
              </w:numPr>
              <w:ind w:left="425" w:hanging="425"/>
              <w:contextualSpacing w:val="0"/>
              <w:jc w:val="both"/>
              <w:rPr>
                <w:rFonts w:ascii="Times New Roman" w:hAnsi="Times New Roman" w:cs="Times New Roman"/>
                <w:sz w:val="24"/>
                <w:szCs w:val="24"/>
              </w:rPr>
            </w:pPr>
            <w:r w:rsidRPr="00946F6F">
              <w:rPr>
                <w:rFonts w:ascii="Times New Roman" w:hAnsi="Times New Roman" w:cs="Times New Roman"/>
                <w:sz w:val="24"/>
                <w:szCs w:val="24"/>
              </w:rPr>
              <w:t xml:space="preserve">atbalstu dalībai pārrobežu sadarbības projektos elektroniskā paraksta izmantošanas pārrobežu līmenī veicināšanai, lai atvieglotu komersantu pārrobežu sadarbību; </w:t>
            </w:r>
          </w:p>
          <w:p w14:paraId="19D4AC21" w14:textId="77777777" w:rsidR="002D286E" w:rsidRPr="00946F6F" w:rsidRDefault="002D286E" w:rsidP="00C0790B">
            <w:pPr>
              <w:pStyle w:val="ListParagraph"/>
              <w:numPr>
                <w:ilvl w:val="0"/>
                <w:numId w:val="10"/>
              </w:numPr>
              <w:ind w:left="425" w:hanging="425"/>
              <w:contextualSpacing w:val="0"/>
              <w:jc w:val="both"/>
              <w:rPr>
                <w:rFonts w:ascii="Times New Roman" w:hAnsi="Times New Roman" w:cs="Times New Roman"/>
                <w:color w:val="000000"/>
                <w:sz w:val="24"/>
                <w:szCs w:val="24"/>
              </w:rPr>
            </w:pPr>
            <w:r w:rsidRPr="00946F6F">
              <w:rPr>
                <w:rFonts w:ascii="Times New Roman" w:hAnsi="Times New Roman" w:cs="Times New Roman"/>
                <w:color w:val="000000"/>
                <w:sz w:val="24"/>
                <w:szCs w:val="24"/>
              </w:rPr>
              <w:t>grozījumiem Komerclikumam, kas noteiktu, ka noteikumi par akciju sabiedrībām (un, iespējams, arī sabiedrībām ar ierobežotu atbildību) ir imperatīvas normas, kuru būtisku pārkāpumu gadījumā attiecīgie sabiedrības pārvaldes institūciju lēmumi un citas darbības automātiski atzīstamas par spēkā neesošām;</w:t>
            </w:r>
          </w:p>
          <w:p w14:paraId="0EDC2EF4" w14:textId="77777777" w:rsidR="002D286E" w:rsidRPr="00946F6F" w:rsidRDefault="00750450" w:rsidP="00C0790B">
            <w:pPr>
              <w:pStyle w:val="ListParagraph"/>
              <w:numPr>
                <w:ilvl w:val="0"/>
                <w:numId w:val="10"/>
              </w:numPr>
              <w:ind w:left="425" w:hanging="425"/>
              <w:contextualSpacing w:val="0"/>
              <w:jc w:val="both"/>
              <w:rPr>
                <w:rFonts w:ascii="Times New Roman" w:hAnsi="Times New Roman" w:cs="Times New Roman"/>
                <w:color w:val="000000"/>
                <w:sz w:val="24"/>
                <w:szCs w:val="24"/>
                <w:u w:val="single"/>
              </w:rPr>
            </w:pPr>
            <w:r w:rsidRPr="00946F6F">
              <w:rPr>
                <w:rFonts w:ascii="Times New Roman" w:hAnsi="Times New Roman" w:cs="Times New Roman"/>
                <w:color w:val="000000"/>
                <w:sz w:val="24"/>
                <w:szCs w:val="24"/>
              </w:rPr>
              <w:t xml:space="preserve">grozījumiem </w:t>
            </w:r>
            <w:r w:rsidR="002D286E" w:rsidRPr="00946F6F">
              <w:rPr>
                <w:rFonts w:ascii="Times New Roman" w:hAnsi="Times New Roman" w:cs="Times New Roman"/>
                <w:color w:val="000000"/>
                <w:sz w:val="24"/>
                <w:szCs w:val="24"/>
              </w:rPr>
              <w:t xml:space="preserve">Komerclikumam, kas noteiktu kapitālsabiedrību dalībnieku līgumu noteikumu spēku, sekas un izpildāmību u.c. aspektus, skaidri </w:t>
            </w:r>
            <w:r w:rsidRPr="00946F6F">
              <w:rPr>
                <w:rFonts w:ascii="Times New Roman" w:hAnsi="Times New Roman" w:cs="Times New Roman"/>
                <w:color w:val="000000"/>
                <w:sz w:val="24"/>
                <w:szCs w:val="24"/>
              </w:rPr>
              <w:t>nosakot</w:t>
            </w:r>
            <w:r w:rsidR="002D286E" w:rsidRPr="00946F6F">
              <w:rPr>
                <w:rFonts w:ascii="Times New Roman" w:hAnsi="Times New Roman" w:cs="Times New Roman"/>
                <w:color w:val="000000"/>
                <w:sz w:val="24"/>
                <w:szCs w:val="24"/>
              </w:rPr>
              <w:t>, ka dalībnieku līgumi nevar grozīt minētos noteikumus, bet var to</w:t>
            </w:r>
            <w:r w:rsidRPr="00946F6F">
              <w:rPr>
                <w:rFonts w:ascii="Times New Roman" w:hAnsi="Times New Roman" w:cs="Times New Roman"/>
                <w:color w:val="000000"/>
                <w:sz w:val="24"/>
                <w:szCs w:val="24"/>
              </w:rPr>
              <w:t>s papildināt un sīkāk detalizēt;</w:t>
            </w:r>
          </w:p>
          <w:p w14:paraId="30020CA0" w14:textId="77777777" w:rsidR="002D286E" w:rsidRPr="00946F6F" w:rsidRDefault="00750450" w:rsidP="00C0790B">
            <w:pPr>
              <w:pStyle w:val="ListParagraph"/>
              <w:numPr>
                <w:ilvl w:val="0"/>
                <w:numId w:val="10"/>
              </w:numPr>
              <w:ind w:left="425" w:hanging="425"/>
              <w:contextualSpacing w:val="0"/>
              <w:jc w:val="both"/>
              <w:rPr>
                <w:rFonts w:ascii="Times New Roman" w:hAnsi="Times New Roman" w:cs="Times New Roman"/>
                <w:sz w:val="24"/>
                <w:szCs w:val="24"/>
              </w:rPr>
            </w:pPr>
            <w:r w:rsidRPr="00946F6F">
              <w:rPr>
                <w:rFonts w:ascii="Times New Roman" w:hAnsi="Times New Roman" w:cs="Times New Roman"/>
                <w:color w:val="000000"/>
                <w:sz w:val="24"/>
                <w:szCs w:val="24"/>
              </w:rPr>
              <w:t xml:space="preserve">grozījumiem </w:t>
            </w:r>
            <w:r w:rsidR="002D286E" w:rsidRPr="00946F6F">
              <w:rPr>
                <w:rFonts w:ascii="Times New Roman" w:hAnsi="Times New Roman" w:cs="Times New Roman"/>
                <w:color w:val="000000"/>
                <w:sz w:val="24"/>
                <w:szCs w:val="24"/>
              </w:rPr>
              <w:t>Uzņēmuma reģistra likumā, kas noteiktu Uzņēmuma reģistra valsts notāra tiesības pārbaudīt reģistrācijai komercreģistrā pieteikto ziņu pareizību pēc būtības</w:t>
            </w:r>
            <w:r w:rsidRPr="00946F6F">
              <w:rPr>
                <w:rFonts w:ascii="Times New Roman" w:hAnsi="Times New Roman" w:cs="Times New Roman"/>
                <w:color w:val="000000"/>
                <w:sz w:val="24"/>
                <w:szCs w:val="24"/>
              </w:rPr>
              <w:t>;</w:t>
            </w:r>
          </w:p>
          <w:p w14:paraId="59AB22A0" w14:textId="77777777" w:rsidR="002D286E" w:rsidRPr="00946F6F" w:rsidRDefault="002D286E" w:rsidP="00C0790B">
            <w:pPr>
              <w:numPr>
                <w:ilvl w:val="0"/>
                <w:numId w:val="10"/>
              </w:numPr>
              <w:spacing w:after="200"/>
              <w:ind w:left="425" w:hanging="425"/>
              <w:jc w:val="both"/>
              <w:rPr>
                <w:bCs/>
                <w:sz w:val="24"/>
                <w:szCs w:val="24"/>
                <w:lang w:val="lv-LV"/>
              </w:rPr>
            </w:pPr>
            <w:r w:rsidRPr="00946F6F">
              <w:rPr>
                <w:bCs/>
                <w:color w:val="000000"/>
                <w:sz w:val="24"/>
                <w:szCs w:val="24"/>
                <w:lang w:val="lv-LV"/>
              </w:rPr>
              <w:t xml:space="preserve">specializētas komerclietu nodaļas </w:t>
            </w:r>
            <w:r w:rsidR="006F40C4" w:rsidRPr="00467DFC">
              <w:rPr>
                <w:sz w:val="24"/>
                <w:szCs w:val="24"/>
                <w:lang w:val="lv-LV"/>
              </w:rPr>
              <w:t>—</w:t>
            </w:r>
            <w:r w:rsidRPr="00946F6F">
              <w:rPr>
                <w:bCs/>
                <w:color w:val="000000"/>
                <w:sz w:val="24"/>
                <w:szCs w:val="24"/>
                <w:lang w:val="lv-LV"/>
              </w:rPr>
              <w:t xml:space="preserve"> apgabaltiesu Komerclietu</w:t>
            </w:r>
            <w:r w:rsidRPr="00946F6F">
              <w:rPr>
                <w:rStyle w:val="Strong"/>
                <w:b w:val="0"/>
                <w:color w:val="000000"/>
                <w:sz w:val="24"/>
                <w:szCs w:val="24"/>
                <w:lang w:val="lv-LV"/>
              </w:rPr>
              <w:t xml:space="preserve"> tiesas kolēģiju kā pirmās instances tiesu komerclietās </w:t>
            </w:r>
            <w:r w:rsidRPr="00946F6F">
              <w:rPr>
                <w:bCs/>
                <w:color w:val="000000"/>
                <w:sz w:val="24"/>
                <w:szCs w:val="24"/>
                <w:lang w:val="lv-LV"/>
              </w:rPr>
              <w:t>un Augstākās tiesas Komerclietu departamentu kā kasācijas tiesu komerclietās</w:t>
            </w:r>
            <w:r w:rsidR="00750450" w:rsidRPr="00946F6F">
              <w:rPr>
                <w:bCs/>
                <w:color w:val="000000"/>
                <w:sz w:val="24"/>
                <w:szCs w:val="24"/>
                <w:lang w:val="lv-LV"/>
              </w:rPr>
              <w:t xml:space="preserve"> </w:t>
            </w:r>
            <w:r w:rsidR="006F40C4" w:rsidRPr="00467DFC">
              <w:rPr>
                <w:sz w:val="24"/>
                <w:szCs w:val="24"/>
                <w:lang w:val="lv-LV"/>
              </w:rPr>
              <w:t>—</w:t>
            </w:r>
            <w:r w:rsidR="00750450" w:rsidRPr="00946F6F">
              <w:rPr>
                <w:bCs/>
                <w:color w:val="000000"/>
                <w:sz w:val="24"/>
                <w:szCs w:val="24"/>
                <w:lang w:val="lv-LV"/>
              </w:rPr>
              <w:t xml:space="preserve"> izveidi, a</w:t>
            </w:r>
            <w:r w:rsidRPr="00946F6F">
              <w:rPr>
                <w:bCs/>
                <w:color w:val="000000"/>
                <w:sz w:val="24"/>
                <w:szCs w:val="24"/>
                <w:lang w:val="lv-LV"/>
              </w:rPr>
              <w:t>ttiecīgi paredz</w:t>
            </w:r>
            <w:r w:rsidR="00750450" w:rsidRPr="00946F6F">
              <w:rPr>
                <w:bCs/>
                <w:color w:val="000000"/>
                <w:sz w:val="24"/>
                <w:szCs w:val="24"/>
                <w:lang w:val="lv-LV"/>
              </w:rPr>
              <w:t>o</w:t>
            </w:r>
            <w:r w:rsidRPr="00946F6F">
              <w:rPr>
                <w:bCs/>
                <w:color w:val="000000"/>
                <w:sz w:val="24"/>
                <w:szCs w:val="24"/>
                <w:lang w:val="lv-LV"/>
              </w:rPr>
              <w:t>t attiecīgus</w:t>
            </w:r>
            <w:r w:rsidR="001A1A30">
              <w:rPr>
                <w:bCs/>
                <w:color w:val="000000"/>
                <w:sz w:val="24"/>
                <w:szCs w:val="24"/>
                <w:lang w:val="lv-LV"/>
              </w:rPr>
              <w:t xml:space="preserve"> grozījumus</w:t>
            </w:r>
            <w:r w:rsidRPr="00946F6F">
              <w:rPr>
                <w:bCs/>
                <w:color w:val="000000"/>
                <w:sz w:val="24"/>
                <w:szCs w:val="24"/>
                <w:lang w:val="lv-LV"/>
              </w:rPr>
              <w:t xml:space="preserve"> likumā „Par tiesu varu”, </w:t>
            </w:r>
            <w:r w:rsidRPr="00946F6F">
              <w:rPr>
                <w:bCs/>
                <w:sz w:val="24"/>
                <w:szCs w:val="24"/>
                <w:lang w:val="lv-LV"/>
              </w:rPr>
              <w:t>kā arī Civilprocesa likumā vai atsevišķā Komercprocesa likumā</w:t>
            </w:r>
            <w:r w:rsidR="00750450" w:rsidRPr="00946F6F">
              <w:rPr>
                <w:bCs/>
                <w:sz w:val="24"/>
                <w:szCs w:val="24"/>
                <w:lang w:val="lv-LV"/>
              </w:rPr>
              <w:t>;</w:t>
            </w:r>
          </w:p>
          <w:p w14:paraId="155C3F6D" w14:textId="77777777" w:rsidR="005B3AD3" w:rsidRDefault="0029381A" w:rsidP="00C0790B">
            <w:pPr>
              <w:pStyle w:val="tv213"/>
              <w:numPr>
                <w:ilvl w:val="0"/>
                <w:numId w:val="10"/>
              </w:numPr>
              <w:spacing w:before="0" w:beforeAutospacing="0" w:after="200" w:afterAutospacing="0" w:line="276" w:lineRule="auto"/>
              <w:ind w:left="425" w:hanging="425"/>
              <w:jc w:val="both"/>
              <w:rPr>
                <w:bCs/>
              </w:rPr>
            </w:pPr>
            <w:r>
              <w:rPr>
                <w:bCs/>
              </w:rPr>
              <w:t>a</w:t>
            </w:r>
            <w:r w:rsidR="002D286E" w:rsidRPr="00946F6F">
              <w:rPr>
                <w:bCs/>
              </w:rPr>
              <w:t>dvokātu proces</w:t>
            </w:r>
            <w:r w:rsidR="00750450" w:rsidRPr="00946F6F">
              <w:rPr>
                <w:bCs/>
              </w:rPr>
              <w:t>u</w:t>
            </w:r>
            <w:r w:rsidR="002D286E" w:rsidRPr="00946F6F">
              <w:rPr>
                <w:bCs/>
              </w:rPr>
              <w:t xml:space="preserve"> civilprocesā pirmās un otrās instances tiesās kopsakarā ar nosacījumu uzņemšanai advokatūrā grozījumiem</w:t>
            </w:r>
            <w:r w:rsidR="00750450" w:rsidRPr="00946F6F">
              <w:rPr>
                <w:bCs/>
              </w:rPr>
              <w:t>, samazinot</w:t>
            </w:r>
            <w:r w:rsidR="002D286E" w:rsidRPr="00946F6F">
              <w:rPr>
                <w:bCs/>
              </w:rPr>
              <w:t xml:space="preserve"> Advokatū</w:t>
            </w:r>
            <w:r w:rsidR="00750450" w:rsidRPr="00946F6F">
              <w:rPr>
                <w:bCs/>
              </w:rPr>
              <w:t>ras likumā izvirzītās</w:t>
            </w:r>
            <w:r w:rsidR="002D286E" w:rsidRPr="00946F6F">
              <w:rPr>
                <w:bCs/>
              </w:rPr>
              <w:t xml:space="preserve"> prasības jaunu juristu </w:t>
            </w:r>
            <w:r w:rsidR="00750450" w:rsidRPr="00946F6F">
              <w:rPr>
                <w:bCs/>
              </w:rPr>
              <w:t>uzņemšanai</w:t>
            </w:r>
            <w:r w:rsidR="002D286E" w:rsidRPr="00946F6F">
              <w:rPr>
                <w:bCs/>
              </w:rPr>
              <w:t xml:space="preserve"> advokatūrā</w:t>
            </w:r>
            <w:r w:rsidR="00570D0E">
              <w:rPr>
                <w:bCs/>
              </w:rPr>
              <w:t>;</w:t>
            </w:r>
          </w:p>
          <w:p w14:paraId="0EF9F046" w14:textId="77777777" w:rsidR="00570D0E" w:rsidRDefault="00BE1359" w:rsidP="00BE1359">
            <w:pPr>
              <w:pStyle w:val="tv213"/>
              <w:numPr>
                <w:ilvl w:val="0"/>
                <w:numId w:val="10"/>
              </w:numPr>
              <w:spacing w:before="0" w:beforeAutospacing="0" w:after="200" w:afterAutospacing="0" w:line="276" w:lineRule="auto"/>
              <w:ind w:left="418" w:hanging="418"/>
              <w:jc w:val="both"/>
              <w:rPr>
                <w:bCs/>
              </w:rPr>
            </w:pPr>
            <w:r w:rsidRPr="00BE1359">
              <w:rPr>
                <w:bCs/>
              </w:rPr>
              <w:t>nepieciešam</w:t>
            </w:r>
            <w:r>
              <w:rPr>
                <w:bCs/>
              </w:rPr>
              <w:t>ība</w:t>
            </w:r>
            <w:r w:rsidRPr="00BE1359">
              <w:rPr>
                <w:bCs/>
              </w:rPr>
              <w:t xml:space="preserve"> „Šķīrējtiesu likuma” likumprojektā paredzēt, ka gadījumā, ja prasījums tiek cedēts un ja saistībā ar šo prasījumu ir paredzēta strīdu risināšana šķīrējtiesā, tad strīda risināšana šķīrējtiesā ir saistoša arī cesionāram</w:t>
            </w:r>
            <w:r w:rsidR="00570D0E">
              <w:rPr>
                <w:bCs/>
              </w:rPr>
              <w:t>;</w:t>
            </w:r>
          </w:p>
          <w:p w14:paraId="25835F55" w14:textId="77777777" w:rsidR="00570D0E" w:rsidRPr="00625F54" w:rsidRDefault="00486B4F" w:rsidP="00486B4F">
            <w:pPr>
              <w:pStyle w:val="tv213"/>
              <w:numPr>
                <w:ilvl w:val="0"/>
                <w:numId w:val="10"/>
              </w:numPr>
              <w:spacing w:before="0" w:beforeAutospacing="0" w:after="200" w:afterAutospacing="0" w:line="276" w:lineRule="auto"/>
              <w:ind w:left="425" w:hanging="425"/>
              <w:jc w:val="both"/>
              <w:rPr>
                <w:bCs/>
              </w:rPr>
            </w:pPr>
            <w:r w:rsidRPr="00486B4F">
              <w:rPr>
                <w:bCs/>
              </w:rPr>
              <w:t>nepieciešam</w:t>
            </w:r>
            <w:r>
              <w:rPr>
                <w:bCs/>
              </w:rPr>
              <w:t>ību</w:t>
            </w:r>
            <w:r w:rsidRPr="00486B4F">
              <w:rPr>
                <w:bCs/>
              </w:rPr>
              <w:t xml:space="preserve"> „Šķīrējtiesu likuma” likumprojektā paredzēt izņēmumus no vispārējās šķīrējtiesnešu sertifikācijas kārtības</w:t>
            </w:r>
            <w:r w:rsidR="00570D0E">
              <w:rPr>
                <w:bCs/>
              </w:rPr>
              <w:t>.</w:t>
            </w:r>
          </w:p>
        </w:tc>
      </w:tr>
    </w:tbl>
    <w:p w14:paraId="11D83B54" w14:textId="77777777" w:rsidR="003222AC" w:rsidRDefault="003222AC" w:rsidP="003222AC">
      <w:pPr>
        <w:pStyle w:val="ColorfulList-Accent11"/>
        <w:spacing w:before="400"/>
        <w:ind w:left="709"/>
        <w:contextualSpacing w:val="0"/>
        <w:jc w:val="both"/>
        <w:rPr>
          <w:rFonts w:ascii="Times New Roman" w:hAnsi="Times New Roman"/>
          <w:b/>
          <w:sz w:val="24"/>
          <w:szCs w:val="24"/>
        </w:rPr>
      </w:pPr>
    </w:p>
    <w:p w14:paraId="2F68CBE0" w14:textId="77777777" w:rsidR="006645EE" w:rsidRPr="00946F6F" w:rsidRDefault="006645EE" w:rsidP="00230C1A">
      <w:pPr>
        <w:pStyle w:val="ColorfulList-Accent11"/>
        <w:numPr>
          <w:ilvl w:val="0"/>
          <w:numId w:val="2"/>
        </w:numPr>
        <w:spacing w:before="400"/>
        <w:ind w:left="709" w:hanging="709"/>
        <w:contextualSpacing w:val="0"/>
        <w:jc w:val="both"/>
        <w:rPr>
          <w:rFonts w:ascii="Times New Roman" w:hAnsi="Times New Roman"/>
          <w:b/>
          <w:sz w:val="24"/>
          <w:szCs w:val="24"/>
        </w:rPr>
      </w:pPr>
      <w:r w:rsidRPr="00946F6F">
        <w:rPr>
          <w:rFonts w:ascii="Times New Roman" w:hAnsi="Times New Roman"/>
          <w:b/>
          <w:sz w:val="24"/>
          <w:szCs w:val="24"/>
        </w:rPr>
        <w:lastRenderedPageBreak/>
        <w:t>Rekomendāciju pamatojums</w:t>
      </w:r>
    </w:p>
    <w:tbl>
      <w:tblPr>
        <w:tblW w:w="0" w:type="auto"/>
        <w:tblInd w:w="108" w:type="dxa"/>
        <w:tblLayout w:type="fixed"/>
        <w:tblLook w:val="0000" w:firstRow="0" w:lastRow="0" w:firstColumn="0" w:lastColumn="0" w:noHBand="0" w:noVBand="0"/>
      </w:tblPr>
      <w:tblGrid>
        <w:gridCol w:w="9639"/>
      </w:tblGrid>
      <w:tr w:rsidR="006645EE" w:rsidRPr="00467DFC" w14:paraId="62AC6440" w14:textId="77777777" w:rsidTr="00B35320">
        <w:tc>
          <w:tcPr>
            <w:tcW w:w="9639" w:type="dxa"/>
            <w:tcBorders>
              <w:top w:val="single" w:sz="8" w:space="0" w:color="000000"/>
              <w:left w:val="single" w:sz="8" w:space="0" w:color="000000"/>
              <w:bottom w:val="single" w:sz="8" w:space="0" w:color="000000"/>
              <w:right w:val="single" w:sz="8" w:space="0" w:color="000000"/>
            </w:tcBorders>
            <w:shd w:val="clear" w:color="auto" w:fill="auto"/>
          </w:tcPr>
          <w:p w14:paraId="6262195A" w14:textId="77777777" w:rsidR="007C160A" w:rsidRPr="00C91D83" w:rsidRDefault="003B6344" w:rsidP="00FC7AF1">
            <w:pPr>
              <w:pStyle w:val="ListParagraph"/>
              <w:numPr>
                <w:ilvl w:val="1"/>
                <w:numId w:val="7"/>
              </w:numPr>
              <w:spacing w:before="200"/>
              <w:ind w:left="601" w:hanging="601"/>
              <w:contextualSpacing w:val="0"/>
              <w:rPr>
                <w:rFonts w:ascii="Times New Roman" w:hAnsi="Times New Roman" w:cs="Times New Roman"/>
                <w:b/>
                <w:sz w:val="24"/>
                <w:szCs w:val="24"/>
              </w:rPr>
            </w:pPr>
            <w:r w:rsidRPr="00C91D83">
              <w:rPr>
                <w:rFonts w:ascii="Times New Roman" w:hAnsi="Times New Roman" w:cs="Times New Roman"/>
                <w:b/>
                <w:sz w:val="24"/>
                <w:szCs w:val="24"/>
              </w:rPr>
              <w:t>Komerctiesību sadaļa</w:t>
            </w:r>
          </w:p>
          <w:p w14:paraId="68738EC0" w14:textId="77777777" w:rsidR="007C160A" w:rsidRPr="00C91D83" w:rsidRDefault="007C160A" w:rsidP="00FC7AF1">
            <w:pPr>
              <w:pStyle w:val="ListParagraph"/>
              <w:numPr>
                <w:ilvl w:val="2"/>
                <w:numId w:val="7"/>
              </w:numPr>
              <w:spacing w:before="200"/>
              <w:ind w:left="601" w:hanging="601"/>
              <w:contextualSpacing w:val="0"/>
              <w:rPr>
                <w:rFonts w:ascii="Times New Roman" w:hAnsi="Times New Roman" w:cs="Times New Roman"/>
                <w:b/>
                <w:sz w:val="24"/>
                <w:szCs w:val="24"/>
              </w:rPr>
            </w:pPr>
            <w:bookmarkStart w:id="1" w:name="_Ref387350533"/>
            <w:r w:rsidRPr="00C91D83">
              <w:rPr>
                <w:rFonts w:ascii="Times New Roman" w:hAnsi="Times New Roman" w:cs="Times New Roman"/>
                <w:b/>
                <w:sz w:val="24"/>
                <w:szCs w:val="24"/>
              </w:rPr>
              <w:t>Darījumu drošība un saistošais spēks</w:t>
            </w:r>
            <w:r w:rsidR="007241A9" w:rsidRPr="00C91D83">
              <w:rPr>
                <w:rFonts w:ascii="Times New Roman" w:hAnsi="Times New Roman" w:cs="Times New Roman"/>
                <w:b/>
                <w:sz w:val="24"/>
                <w:szCs w:val="24"/>
              </w:rPr>
              <w:t xml:space="preserve"> kontekstā ar būtiskām normatīvā regulējuma izmaiņām</w:t>
            </w:r>
            <w:bookmarkEnd w:id="1"/>
          </w:p>
          <w:p w14:paraId="34383BA9" w14:textId="77777777" w:rsidR="007C7707" w:rsidRPr="00C91D83" w:rsidRDefault="007C7707" w:rsidP="00845E8A">
            <w:pPr>
              <w:pStyle w:val="NormalWeb"/>
              <w:spacing w:before="200" w:beforeAutospacing="0" w:after="200" w:afterAutospacing="0" w:line="276" w:lineRule="auto"/>
              <w:jc w:val="both"/>
            </w:pPr>
            <w:r w:rsidRPr="00C91D83">
              <w:t>No Latvijas Republikas Satversmes 1.pantā ietvertā demokrātiskās republikas jēdziena izriet valsts pienākums savā darbībā ievērot tiesiskas valsts pamatprincipus, tostarp tiesiskās paļāvības principu. Tiesiskās paļāvības princips prasa, lai valsts, mainot normatīvo regulējumu, ievērotu saprātīgu līdzsvaru starp personas paļāvību un tām interesēm, kuru nodrošināšanas labad regulējums tiek mainīts.</w:t>
            </w:r>
            <w:r w:rsidRPr="00C91D83">
              <w:rPr>
                <w:rStyle w:val="FootnoteReference"/>
              </w:rPr>
              <w:footnoteReference w:id="1"/>
            </w:r>
          </w:p>
          <w:p w14:paraId="6C55890D" w14:textId="77777777" w:rsidR="007C7707" w:rsidRPr="00C91D83" w:rsidRDefault="007C7707" w:rsidP="00845E8A">
            <w:pPr>
              <w:spacing w:before="200" w:after="200" w:line="276" w:lineRule="auto"/>
              <w:jc w:val="both"/>
              <w:rPr>
                <w:sz w:val="24"/>
                <w:szCs w:val="24"/>
                <w:lang w:val="lv-LV"/>
              </w:rPr>
            </w:pPr>
            <w:r w:rsidRPr="00C91D83">
              <w:rPr>
                <w:sz w:val="24"/>
                <w:szCs w:val="24"/>
                <w:lang w:val="lv-LV"/>
              </w:rPr>
              <w:t>Sav</w:t>
            </w:r>
            <w:r w:rsidR="001A1A30" w:rsidRPr="00C91D83">
              <w:rPr>
                <w:sz w:val="24"/>
                <w:szCs w:val="24"/>
                <w:lang w:val="lv-LV"/>
              </w:rPr>
              <w:t xml:space="preserve">ukārt Satversmes tiesas praksē </w:t>
            </w:r>
            <w:r w:rsidRPr="00C91D83">
              <w:rPr>
                <w:sz w:val="24"/>
                <w:szCs w:val="24"/>
                <w:lang w:val="lv-LV"/>
              </w:rPr>
              <w:t>attiecībā uz saudzējošas pārejas uz jauno tiesisko regulējumu paredzēšanu norādīts, ka tā var izpausties kā saprātīga pārejas termiņa noteikšana</w:t>
            </w:r>
            <w:r w:rsidRPr="00C91D83">
              <w:rPr>
                <w:rStyle w:val="FootnoteReference"/>
                <w:sz w:val="24"/>
                <w:szCs w:val="24"/>
                <w:lang w:val="lv-LV"/>
              </w:rPr>
              <w:footnoteReference w:id="2"/>
            </w:r>
            <w:r w:rsidRPr="00C91D83">
              <w:rPr>
                <w:sz w:val="24"/>
                <w:szCs w:val="24"/>
                <w:lang w:val="lv-LV"/>
              </w:rPr>
              <w:t xml:space="preserve"> vai kompensācijas paredzēšana.</w:t>
            </w:r>
            <w:r w:rsidRPr="00C91D83">
              <w:rPr>
                <w:rStyle w:val="FootnoteReference"/>
                <w:sz w:val="24"/>
                <w:szCs w:val="24"/>
                <w:lang w:val="lv-LV"/>
              </w:rPr>
              <w:footnoteReference w:id="3"/>
            </w:r>
            <w:r w:rsidRPr="00C91D83">
              <w:rPr>
                <w:sz w:val="24"/>
                <w:szCs w:val="24"/>
                <w:lang w:val="lv-LV"/>
              </w:rPr>
              <w:t xml:space="preserve"> Minētais, protams, neizslēdz to, ka šādu saudzējošu pāreju iespējams noteikt arī ar citiem mehānismiem.</w:t>
            </w:r>
            <w:r w:rsidRPr="00C91D83">
              <w:rPr>
                <w:rStyle w:val="FootnoteReference"/>
                <w:sz w:val="24"/>
                <w:szCs w:val="24"/>
                <w:lang w:val="lv-LV"/>
              </w:rPr>
              <w:footnoteReference w:id="4"/>
            </w:r>
            <w:r w:rsidRPr="00C91D83">
              <w:rPr>
                <w:sz w:val="24"/>
                <w:szCs w:val="24"/>
                <w:lang w:val="lv-LV"/>
              </w:rPr>
              <w:t xml:space="preserve"> Taču ĀIPL vēlas jo īpaši uzsvērt, ka saudzējoša un samērīga pāreja uz jauno tiesisko regulējumu ir svarīga gadījumos, kuros jaunais normatīvais regulējums skar praktiski visus civiltiesiskās apgrozības dalībniekus.</w:t>
            </w:r>
          </w:p>
          <w:p w14:paraId="28779C94" w14:textId="77777777" w:rsidR="006D3678" w:rsidRPr="00C91D83" w:rsidRDefault="006D3678" w:rsidP="00B35320">
            <w:pPr>
              <w:spacing w:before="200" w:after="200" w:line="276" w:lineRule="auto"/>
              <w:jc w:val="both"/>
              <w:rPr>
                <w:sz w:val="24"/>
                <w:szCs w:val="24"/>
                <w:lang w:val="lv-LV"/>
              </w:rPr>
            </w:pPr>
            <w:r w:rsidRPr="00C91D83">
              <w:rPr>
                <w:sz w:val="24"/>
                <w:szCs w:val="24"/>
                <w:lang w:val="lv-LV"/>
              </w:rPr>
              <w:t>Ņemot vērā ĀIPL biedru paustās bažas saistībā ar atsevišķiem pēdējā laika likumdošanas procesiem, jo īpaši saistībā ar jau pieņemtajiem grozījumiem likumā „Par atjaunotā Latvijas Republikas 1937.gada Civillikuma saistību tiesību daļas spēkā stāšanās laiku un piemērošanas kārtību</w:t>
            </w:r>
            <w:r w:rsidR="001A1A30" w:rsidRPr="00C91D83">
              <w:rPr>
                <w:sz w:val="24"/>
                <w:szCs w:val="24"/>
                <w:lang w:val="lv-LV"/>
              </w:rPr>
              <w:t>”</w:t>
            </w:r>
            <w:r w:rsidRPr="00C91D83">
              <w:rPr>
                <w:sz w:val="24"/>
                <w:szCs w:val="24"/>
                <w:lang w:val="lv-LV"/>
              </w:rPr>
              <w:t xml:space="preserve"> un 2.lasījumā atbalstīto likumprojektu „Grozījumi Maksātnespējas likumā”</w:t>
            </w:r>
            <w:r w:rsidR="0089696B">
              <w:rPr>
                <w:sz w:val="24"/>
                <w:szCs w:val="24"/>
                <w:lang w:val="lv-LV"/>
              </w:rPr>
              <w:t xml:space="preserve"> (kur otrajā lasījumā tika atbalstīti būtiski grozījumi, kas var ietekmēt visu līdzšinējo investīciju vidi)</w:t>
            </w:r>
            <w:r w:rsidRPr="00C91D83">
              <w:rPr>
                <w:sz w:val="24"/>
                <w:szCs w:val="24"/>
                <w:lang w:val="lv-LV"/>
              </w:rPr>
              <w:t xml:space="preserve">, ĀIPL </w:t>
            </w:r>
            <w:r w:rsidR="006306D9" w:rsidRPr="00C91D83">
              <w:rPr>
                <w:sz w:val="24"/>
                <w:szCs w:val="24"/>
                <w:lang w:val="lv-LV"/>
              </w:rPr>
              <w:t>vēlas</w:t>
            </w:r>
            <w:r w:rsidRPr="00C91D83">
              <w:rPr>
                <w:sz w:val="24"/>
                <w:szCs w:val="24"/>
                <w:lang w:val="lv-LV"/>
              </w:rPr>
              <w:t xml:space="preserve"> atkārtoti vērst uzmanību uz likumdošanas procesu un normatīvā regulējuma stabilitātes ietekmi uz investīciju piesaisti un investīciju aizsardzību.</w:t>
            </w:r>
            <w:r w:rsidR="0089696B">
              <w:rPr>
                <w:sz w:val="24"/>
                <w:szCs w:val="24"/>
                <w:lang w:val="lv-LV"/>
              </w:rPr>
              <w:t xml:space="preserve"> Investīciju videi jābūt stabilai un paredzamai.</w:t>
            </w:r>
          </w:p>
          <w:p w14:paraId="0FBEA020" w14:textId="77777777" w:rsidR="007C7707" w:rsidRPr="00C91D83" w:rsidRDefault="007C7707" w:rsidP="00845E8A">
            <w:pPr>
              <w:spacing w:before="200" w:after="200" w:line="276" w:lineRule="auto"/>
              <w:jc w:val="both"/>
              <w:rPr>
                <w:sz w:val="24"/>
                <w:szCs w:val="24"/>
                <w:lang w:val="lv-LV"/>
              </w:rPr>
            </w:pPr>
            <w:r w:rsidRPr="00C91D83">
              <w:rPr>
                <w:sz w:val="24"/>
                <w:szCs w:val="24"/>
                <w:lang w:val="lv-LV"/>
              </w:rPr>
              <w:t xml:space="preserve">Jānorāda, ka civiltiesiskās apgrozības pastāvēšanas stūrakmens ir iespēja paļauties, ka iepriekš slēgti darījumi, kas atbilst slēgšanas brīdī spēkā esošajam regulējumam, netiks uzskatīti par prettiesiskiem tikai tādēļ, ka ar laiku tiek mainīts attiecīgais normatīvais regulējums. Līgumslēdzēji, izdarot izvēli slēgt līgumu, savu izvēli balsta uz tiem tiesiskajiem un faktiskajiem apsvērumiem, kas viņiem ir pieejamie līguma slēgšanas brīdī. </w:t>
            </w:r>
          </w:p>
          <w:p w14:paraId="1F11B49C" w14:textId="77777777" w:rsidR="006D3678" w:rsidRPr="00C91D83" w:rsidRDefault="006D3678" w:rsidP="00845E8A">
            <w:pPr>
              <w:spacing w:before="200" w:after="200" w:line="276" w:lineRule="auto"/>
              <w:jc w:val="both"/>
              <w:rPr>
                <w:sz w:val="24"/>
                <w:szCs w:val="24"/>
                <w:lang w:val="lv-LV"/>
              </w:rPr>
            </w:pPr>
            <w:r w:rsidRPr="00C91D83">
              <w:rPr>
                <w:sz w:val="24"/>
                <w:szCs w:val="24"/>
                <w:lang w:val="lv-LV"/>
              </w:rPr>
              <w:t>P</w:t>
            </w:r>
            <w:r w:rsidR="007C7707" w:rsidRPr="00C91D83">
              <w:rPr>
                <w:sz w:val="24"/>
                <w:szCs w:val="24"/>
                <w:lang w:val="lv-LV"/>
              </w:rPr>
              <w:t>rivāttiesībās valda princips, ka jaunā tiesību norma piemērojama nākamiem apstākļiem, respektīvi</w:t>
            </w:r>
            <w:r w:rsidR="001A1A30" w:rsidRPr="00C91D83">
              <w:rPr>
                <w:sz w:val="24"/>
                <w:szCs w:val="24"/>
                <w:lang w:val="lv-LV"/>
              </w:rPr>
              <w:t>,</w:t>
            </w:r>
            <w:r w:rsidR="007C7707" w:rsidRPr="00C91D83">
              <w:rPr>
                <w:sz w:val="24"/>
                <w:szCs w:val="24"/>
                <w:lang w:val="lv-LV"/>
              </w:rPr>
              <w:t xml:space="preserve"> tiesību normai ir uz priekšu vērsts spēks, un noteikumi par tiesību normas tūlītēju un atpakaļvērstu spēku uzlūkojami kā izņēmums no šā pamatprincipa</w:t>
            </w:r>
            <w:r w:rsidR="00501B1C" w:rsidRPr="00C91D83">
              <w:rPr>
                <w:sz w:val="24"/>
                <w:szCs w:val="24"/>
                <w:lang w:val="lv-LV"/>
              </w:rPr>
              <w:t>.</w:t>
            </w:r>
            <w:r w:rsidR="007C7707" w:rsidRPr="00C91D83">
              <w:rPr>
                <w:rStyle w:val="FootnoteReference"/>
                <w:sz w:val="24"/>
                <w:szCs w:val="24"/>
                <w:lang w:val="lv-LV"/>
              </w:rPr>
              <w:footnoteReference w:id="5"/>
            </w:r>
            <w:r w:rsidR="007C7707" w:rsidRPr="00C91D83">
              <w:rPr>
                <w:sz w:val="24"/>
                <w:szCs w:val="24"/>
                <w:lang w:val="lv-LV"/>
              </w:rPr>
              <w:t xml:space="preserve"> ĀIPL </w:t>
            </w:r>
            <w:r w:rsidRPr="00C91D83">
              <w:rPr>
                <w:sz w:val="24"/>
                <w:szCs w:val="24"/>
                <w:lang w:val="lv-LV"/>
              </w:rPr>
              <w:t>vēlas uzsvērt, ka gadījumos, kad likumdevējs tiešām uzskat</w:t>
            </w:r>
            <w:r w:rsidR="007C7707" w:rsidRPr="00C91D83">
              <w:rPr>
                <w:sz w:val="24"/>
                <w:szCs w:val="24"/>
                <w:lang w:val="lv-LV"/>
              </w:rPr>
              <w:t xml:space="preserve">a par nepieciešamu piemērot izņēmumu no vispārējā pamatprincipa, </w:t>
            </w:r>
            <w:r w:rsidRPr="00C91D83">
              <w:rPr>
                <w:sz w:val="24"/>
                <w:szCs w:val="24"/>
                <w:lang w:val="lv-LV"/>
              </w:rPr>
              <w:t>ir</w:t>
            </w:r>
            <w:r w:rsidR="007C7707" w:rsidRPr="00C91D83">
              <w:rPr>
                <w:sz w:val="24"/>
                <w:szCs w:val="24"/>
                <w:lang w:val="lv-LV"/>
              </w:rPr>
              <w:t xml:space="preserve"> nepieciešams pievērst īpašu uzmanību samērīga un saprātī</w:t>
            </w:r>
            <w:r w:rsidRPr="00C91D83">
              <w:rPr>
                <w:sz w:val="24"/>
                <w:szCs w:val="24"/>
                <w:lang w:val="lv-LV"/>
              </w:rPr>
              <w:t>ga pārejas perioda noteikšanai.</w:t>
            </w:r>
          </w:p>
          <w:p w14:paraId="054A7501" w14:textId="77777777" w:rsidR="007C7707" w:rsidRPr="00C91D83" w:rsidRDefault="007C7707" w:rsidP="00845E8A">
            <w:pPr>
              <w:spacing w:before="200" w:after="200" w:line="276" w:lineRule="auto"/>
              <w:jc w:val="both"/>
              <w:rPr>
                <w:sz w:val="24"/>
                <w:szCs w:val="24"/>
                <w:lang w:val="lv-LV"/>
              </w:rPr>
            </w:pPr>
            <w:r w:rsidRPr="00C91D83">
              <w:rPr>
                <w:sz w:val="24"/>
                <w:szCs w:val="24"/>
                <w:lang w:val="lv-LV"/>
              </w:rPr>
              <w:lastRenderedPageBreak/>
              <w:t>Tas, cik ātri tiek pieņemti būtiski grozījumi normatīvajos aktos, turklāt izņēmuma kārtā attiecinot tos arī uz jau ievadītām (turpinātām) civiltiesiskajām attiecībām un nosakot salīdzinoš</w:t>
            </w:r>
            <w:r w:rsidR="001A1A30" w:rsidRPr="00C91D83">
              <w:rPr>
                <w:sz w:val="24"/>
                <w:szCs w:val="24"/>
                <w:lang w:val="lv-LV"/>
              </w:rPr>
              <w:t>i</w:t>
            </w:r>
            <w:r w:rsidRPr="00C91D83">
              <w:rPr>
                <w:sz w:val="24"/>
                <w:szCs w:val="24"/>
                <w:lang w:val="lv-LV"/>
              </w:rPr>
              <w:t xml:space="preserve"> īsu pārejas periodu, ĀIPL ieskatā norāda uz negatīvu tendenci attiecībā uz normatīvā regulējuma prognozējamību, kas ir jo īpaši svarīgi ārvalstu komersantiem, kas veic vai plāno veikt investīcijas Latvijā, rūpīgi izvērtējot iespējamo investīciju vides drošību.</w:t>
            </w:r>
          </w:p>
          <w:p w14:paraId="147760E9" w14:textId="77777777" w:rsidR="007C7707" w:rsidRPr="00C91D83" w:rsidRDefault="007C7707" w:rsidP="00845E8A">
            <w:pPr>
              <w:spacing w:before="200" w:after="200" w:line="276" w:lineRule="auto"/>
              <w:jc w:val="both"/>
              <w:rPr>
                <w:sz w:val="24"/>
                <w:szCs w:val="24"/>
                <w:lang w:val="lv-LV"/>
              </w:rPr>
            </w:pPr>
            <w:r w:rsidRPr="00C91D83">
              <w:rPr>
                <w:sz w:val="24"/>
                <w:szCs w:val="24"/>
                <w:lang w:val="lv-LV"/>
              </w:rPr>
              <w:t>ĀIPL norāda, ka nepārskatāma uzņēmējdarbības vide un nestabilitāte kopumā kavē investīciju piesaisti. Kvalitatīvs un paredzams likumdošanas process un speciālistu vidē savlaicīgi izdiskutēti normatīvo aktu grozījumu projekti mazina nepieciešamību pēc biežiem normatīvo aktu grozījumiem un rada pārliecību par turpmāko tiesību politikas attīstības stabilitāti.</w:t>
            </w:r>
            <w:r w:rsidRPr="00C91D83">
              <w:rPr>
                <w:rStyle w:val="FootnoteReference"/>
                <w:sz w:val="24"/>
                <w:szCs w:val="24"/>
                <w:lang w:val="lv-LV"/>
              </w:rPr>
              <w:footnoteReference w:id="6"/>
            </w:r>
            <w:r w:rsidRPr="00C91D83">
              <w:rPr>
                <w:sz w:val="24"/>
                <w:szCs w:val="24"/>
                <w:lang w:val="lv-LV"/>
              </w:rPr>
              <w:t xml:space="preserve"> </w:t>
            </w:r>
          </w:p>
          <w:p w14:paraId="42CD914D" w14:textId="77777777" w:rsidR="007C7707" w:rsidRPr="00C91D83" w:rsidRDefault="007C7707" w:rsidP="00845E8A">
            <w:pPr>
              <w:spacing w:before="200" w:after="200" w:line="276" w:lineRule="auto"/>
              <w:jc w:val="both"/>
              <w:rPr>
                <w:sz w:val="24"/>
                <w:szCs w:val="24"/>
                <w:lang w:val="lv-LV"/>
              </w:rPr>
            </w:pPr>
            <w:r w:rsidRPr="00C91D83">
              <w:rPr>
                <w:sz w:val="24"/>
                <w:szCs w:val="24"/>
                <w:lang w:val="lv-LV"/>
              </w:rPr>
              <w:t xml:space="preserve">Norādot uz to, cik būtiska nozīme ir šāda veida grozījumiem attiecībā uz civiltiesisko apgrozību un investoru iespējām nodrošināt savas darbības atbilstību normatīvo aktu prasībām, ĀIPL aicina turpmāk </w:t>
            </w:r>
            <w:r w:rsidR="006306D9" w:rsidRPr="00C91D83">
              <w:rPr>
                <w:sz w:val="24"/>
                <w:szCs w:val="24"/>
                <w:lang w:val="lv-LV"/>
              </w:rPr>
              <w:t>būtiskiem</w:t>
            </w:r>
            <w:r w:rsidRPr="00C91D83">
              <w:rPr>
                <w:sz w:val="24"/>
                <w:szCs w:val="24"/>
                <w:lang w:val="lv-LV"/>
              </w:rPr>
              <w:t xml:space="preserve"> grozījumiem nodrošināt vismaz garāku pārejas periodu, kura laikā aprobēt izdarītās izmaiņas normatīvajā regulējumā un iespēju robežās savlaicīgi un kvalitatīvi sniegt skaidrojumus par normatīvo aktu grozījumu būtību un piemērošanu, dodot iespēju komersantiem ne tikai paust savu viedokli, bet arī pienācīgi sagatavoties gaidāmajām pārmaiņām.</w:t>
            </w:r>
            <w:r w:rsidR="0089696B">
              <w:rPr>
                <w:sz w:val="24"/>
                <w:szCs w:val="24"/>
                <w:lang w:val="lv-LV"/>
              </w:rPr>
              <w:t xml:space="preserve"> Šajā saistībā vēlamies uzsvērt Tieslietu ministrijas kā </w:t>
            </w:r>
            <w:r w:rsidR="0089696B" w:rsidRPr="0089696B">
              <w:rPr>
                <w:sz w:val="24"/>
                <w:szCs w:val="24"/>
                <w:lang w:val="lv-LV"/>
              </w:rPr>
              <w:t>vadošā</w:t>
            </w:r>
            <w:r w:rsidR="0089696B">
              <w:rPr>
                <w:sz w:val="24"/>
                <w:szCs w:val="24"/>
                <w:lang w:val="lv-LV"/>
              </w:rPr>
              <w:t>s</w:t>
            </w:r>
            <w:r w:rsidR="0089696B" w:rsidRPr="0089696B">
              <w:rPr>
                <w:sz w:val="24"/>
                <w:szCs w:val="24"/>
                <w:lang w:val="lv-LV"/>
              </w:rPr>
              <w:t xml:space="preserve"> valsts pārvaldes iestāde</w:t>
            </w:r>
            <w:r w:rsidR="0089696B">
              <w:rPr>
                <w:sz w:val="24"/>
                <w:szCs w:val="24"/>
                <w:lang w:val="lv-LV"/>
              </w:rPr>
              <w:t>s</w:t>
            </w:r>
            <w:r w:rsidR="0089696B" w:rsidRPr="0089696B">
              <w:rPr>
                <w:sz w:val="24"/>
                <w:szCs w:val="24"/>
                <w:lang w:val="lv-LV"/>
              </w:rPr>
              <w:t xml:space="preserve"> tieslietu</w:t>
            </w:r>
            <w:r w:rsidR="0089696B">
              <w:rPr>
                <w:sz w:val="24"/>
                <w:szCs w:val="24"/>
                <w:lang w:val="lv-LV"/>
              </w:rPr>
              <w:t xml:space="preserve"> nozarē nozīmi</w:t>
            </w:r>
            <w:r w:rsidR="00EC4A99">
              <w:rPr>
                <w:sz w:val="24"/>
                <w:szCs w:val="24"/>
                <w:lang w:val="lv-LV"/>
              </w:rPr>
              <w:t>, lai novērstu nepārdomātu grozījumu pieņemšanu, īpaši gadījumos, kur jaunās tiesību normas ietekmētu jau esošas tiesiskās attiecības.</w:t>
            </w:r>
          </w:p>
          <w:p w14:paraId="634C1BD3" w14:textId="77777777" w:rsidR="007C7707" w:rsidRPr="00C91D83" w:rsidRDefault="007C7707" w:rsidP="00845E8A">
            <w:pPr>
              <w:spacing w:before="200" w:after="200" w:line="276" w:lineRule="auto"/>
              <w:jc w:val="both"/>
              <w:rPr>
                <w:sz w:val="24"/>
                <w:szCs w:val="24"/>
                <w:lang w:val="lv-LV"/>
              </w:rPr>
            </w:pPr>
            <w:r w:rsidRPr="00C91D83">
              <w:rPr>
                <w:sz w:val="24"/>
                <w:szCs w:val="24"/>
                <w:lang w:val="lv-LV"/>
              </w:rPr>
              <w:t>Apkopojot minēto, ĀIPL aicina ievērot šādus pamatprincipus normatīvo aktu pieņemšanas procesā:</w:t>
            </w:r>
          </w:p>
          <w:p w14:paraId="79D45A38" w14:textId="77777777" w:rsidR="007C7707" w:rsidRPr="00C91D83" w:rsidRDefault="007C7707" w:rsidP="001074D5">
            <w:pPr>
              <w:numPr>
                <w:ilvl w:val="0"/>
                <w:numId w:val="12"/>
              </w:numPr>
              <w:spacing w:before="200" w:after="200" w:line="276" w:lineRule="auto"/>
              <w:ind w:left="425" w:hanging="425"/>
              <w:jc w:val="both"/>
              <w:rPr>
                <w:sz w:val="24"/>
                <w:szCs w:val="24"/>
                <w:lang w:val="lv-LV"/>
              </w:rPr>
            </w:pPr>
            <w:r w:rsidRPr="00C91D83">
              <w:rPr>
                <w:sz w:val="24"/>
                <w:szCs w:val="24"/>
                <w:lang w:val="lv-LV"/>
              </w:rPr>
              <w:t>normatīvo aktu pilnīga saskaņošana (izstrāde attiecīgajā ministrijā ekspertu līmenī, izsludināšana Valsts sekretāru sanāksmē, izskatīšana Ministru kabineta komitejās un pieņemšana Saeimā t</w:t>
            </w:r>
            <w:r w:rsidR="009149DB" w:rsidRPr="00C91D83">
              <w:rPr>
                <w:sz w:val="24"/>
                <w:szCs w:val="24"/>
                <w:lang w:val="lv-LV"/>
              </w:rPr>
              <w:t>rīs lasījumos);</w:t>
            </w:r>
            <w:r w:rsidRPr="00C91D83">
              <w:rPr>
                <w:sz w:val="24"/>
                <w:szCs w:val="24"/>
                <w:lang w:val="lv-LV"/>
              </w:rPr>
              <w:t xml:space="preserve"> </w:t>
            </w:r>
            <w:r w:rsidR="009149DB" w:rsidRPr="00C91D83">
              <w:rPr>
                <w:sz w:val="24"/>
                <w:szCs w:val="24"/>
                <w:lang w:val="lv-LV"/>
              </w:rPr>
              <w:t>l</w:t>
            </w:r>
            <w:r w:rsidRPr="00C91D83">
              <w:rPr>
                <w:sz w:val="24"/>
                <w:szCs w:val="24"/>
                <w:lang w:val="lv-LV"/>
              </w:rPr>
              <w:t>ikumdevēja iniciatīvas gadījumā nodrošināma līdzvērtīga procedūra normatīvā akta ietekmes izvērtēšanai un kvalitātes nodrošināšanai, iesaistot arī nevalstisko sektoru;</w:t>
            </w:r>
          </w:p>
          <w:p w14:paraId="62961E1D" w14:textId="77777777" w:rsidR="007C7707" w:rsidRPr="00C91D83" w:rsidRDefault="007C7707" w:rsidP="001074D5">
            <w:pPr>
              <w:numPr>
                <w:ilvl w:val="0"/>
                <w:numId w:val="12"/>
              </w:numPr>
              <w:spacing w:before="200" w:after="200" w:line="276" w:lineRule="auto"/>
              <w:ind w:left="425" w:hanging="425"/>
              <w:jc w:val="both"/>
              <w:rPr>
                <w:sz w:val="24"/>
                <w:szCs w:val="24"/>
                <w:lang w:val="lv-LV"/>
              </w:rPr>
            </w:pPr>
            <w:r w:rsidRPr="00C91D83">
              <w:rPr>
                <w:sz w:val="24"/>
                <w:szCs w:val="24"/>
                <w:lang w:val="lv-LV"/>
              </w:rPr>
              <w:t>normatīvā akta nesasteigts apspriešanas periods, atbilstošs plānotā normatīvā akta iespējamai ietekmei uz civiltiesisko apgrozību un investīciju drošību;</w:t>
            </w:r>
          </w:p>
          <w:p w14:paraId="340E1D78" w14:textId="77777777" w:rsidR="007C7707" w:rsidRPr="00C91D83" w:rsidRDefault="007C7707" w:rsidP="001074D5">
            <w:pPr>
              <w:numPr>
                <w:ilvl w:val="0"/>
                <w:numId w:val="12"/>
              </w:numPr>
              <w:spacing w:before="200" w:after="200" w:line="276" w:lineRule="auto"/>
              <w:ind w:left="425" w:hanging="425"/>
              <w:jc w:val="both"/>
              <w:rPr>
                <w:sz w:val="24"/>
                <w:szCs w:val="24"/>
                <w:lang w:val="lv-LV"/>
              </w:rPr>
            </w:pPr>
            <w:r w:rsidRPr="00C91D83">
              <w:rPr>
                <w:sz w:val="24"/>
                <w:szCs w:val="24"/>
                <w:lang w:val="lv-LV"/>
              </w:rPr>
              <w:t>izvēlēto līdzekļu atbilstības izvērtēšana ar normatīvo aktu iecerētā mērķa sasniegšan</w:t>
            </w:r>
            <w:r w:rsidR="00E632F4" w:rsidRPr="00C91D83">
              <w:rPr>
                <w:sz w:val="24"/>
                <w:szCs w:val="24"/>
                <w:lang w:val="lv-LV"/>
              </w:rPr>
              <w:t>ai</w:t>
            </w:r>
            <w:r w:rsidRPr="00C91D83">
              <w:rPr>
                <w:sz w:val="24"/>
                <w:szCs w:val="24"/>
                <w:lang w:val="lv-LV"/>
              </w:rPr>
              <w:t xml:space="preserve"> normatīvā akta izstrādes gaitā, tajā skaitā izsverot iespējamos riskus un zaudējumus;</w:t>
            </w:r>
          </w:p>
          <w:p w14:paraId="1C8D63C1" w14:textId="77777777" w:rsidR="007C7707" w:rsidRPr="00C91D83" w:rsidRDefault="007C7707" w:rsidP="001074D5">
            <w:pPr>
              <w:numPr>
                <w:ilvl w:val="0"/>
                <w:numId w:val="12"/>
              </w:numPr>
              <w:spacing w:before="200" w:after="200" w:line="276" w:lineRule="auto"/>
              <w:ind w:left="425" w:hanging="425"/>
              <w:jc w:val="both"/>
              <w:rPr>
                <w:sz w:val="24"/>
                <w:szCs w:val="24"/>
                <w:lang w:val="lv-LV"/>
              </w:rPr>
            </w:pPr>
            <w:r w:rsidRPr="00C91D83">
              <w:rPr>
                <w:sz w:val="24"/>
                <w:szCs w:val="24"/>
                <w:lang w:val="lv-LV"/>
              </w:rPr>
              <w:t>tiesību politikas plānošana, nodrošinot tās stabilitāti un mazinot nepieciešamību pēc biež</w:t>
            </w:r>
            <w:r w:rsidR="001A1A30" w:rsidRPr="00C91D83">
              <w:rPr>
                <w:sz w:val="24"/>
                <w:szCs w:val="24"/>
                <w:lang w:val="lv-LV"/>
              </w:rPr>
              <w:t>iem normatīvo aktu grozījumiem;</w:t>
            </w:r>
          </w:p>
          <w:p w14:paraId="7738B0D0" w14:textId="77777777" w:rsidR="007C7707" w:rsidRPr="00C91D83" w:rsidRDefault="007C7707" w:rsidP="001074D5">
            <w:pPr>
              <w:numPr>
                <w:ilvl w:val="0"/>
                <w:numId w:val="12"/>
              </w:numPr>
              <w:spacing w:before="200" w:after="200" w:line="276" w:lineRule="auto"/>
              <w:ind w:left="425" w:hanging="425"/>
              <w:jc w:val="both"/>
              <w:rPr>
                <w:sz w:val="24"/>
                <w:szCs w:val="24"/>
                <w:lang w:val="lv-LV"/>
              </w:rPr>
            </w:pPr>
            <w:r w:rsidRPr="00C91D83">
              <w:rPr>
                <w:sz w:val="24"/>
                <w:szCs w:val="24"/>
                <w:lang w:val="lv-LV"/>
              </w:rPr>
              <w:t>saprātīga pārejas pos</w:t>
            </w:r>
            <w:r w:rsidR="001A1A30" w:rsidRPr="00C91D83">
              <w:rPr>
                <w:sz w:val="24"/>
                <w:szCs w:val="24"/>
                <w:lang w:val="lv-LV"/>
              </w:rPr>
              <w:t>ma paredzēšana</w:t>
            </w:r>
            <w:r w:rsidRPr="00C91D83">
              <w:rPr>
                <w:sz w:val="24"/>
                <w:szCs w:val="24"/>
                <w:lang w:val="lv-LV"/>
              </w:rPr>
              <w:t xml:space="preserve"> pārejai uz jauno normatīvo regulējum</w:t>
            </w:r>
            <w:r w:rsidR="005B3ABD" w:rsidRPr="00C91D83">
              <w:rPr>
                <w:sz w:val="24"/>
                <w:szCs w:val="24"/>
                <w:lang w:val="lv-LV"/>
              </w:rPr>
              <w:t>u, ļaujot sabiedrībai izprast tā</w:t>
            </w:r>
            <w:r w:rsidRPr="00C91D83">
              <w:rPr>
                <w:sz w:val="24"/>
                <w:szCs w:val="24"/>
                <w:lang w:val="lv-LV"/>
              </w:rPr>
              <w:t xml:space="preserve"> būtību un veikt nepieciešamos pasākumus atbilstības jaunajam normatīvajam regulējumam nodrošināšanai, īpaši gadījumos, kad tas paredz būtiskas izmaiņas pastāvošajā tiesiskajā kārtībā un civiltiesiskajā apgrozībā;</w:t>
            </w:r>
          </w:p>
          <w:p w14:paraId="54E40343" w14:textId="77777777" w:rsidR="006D3678" w:rsidRPr="00C91D83" w:rsidRDefault="007C7707" w:rsidP="00EE4A16">
            <w:pPr>
              <w:numPr>
                <w:ilvl w:val="0"/>
                <w:numId w:val="12"/>
              </w:numPr>
              <w:spacing w:before="200" w:after="600" w:line="276" w:lineRule="auto"/>
              <w:ind w:left="425" w:hanging="425"/>
              <w:jc w:val="both"/>
              <w:rPr>
                <w:sz w:val="24"/>
                <w:szCs w:val="24"/>
                <w:lang w:val="lv-LV"/>
              </w:rPr>
            </w:pPr>
            <w:r w:rsidRPr="00C91D83">
              <w:rPr>
                <w:sz w:val="24"/>
                <w:szCs w:val="24"/>
                <w:lang w:val="lv-LV"/>
              </w:rPr>
              <w:t>rūpīga izvērtēšana</w:t>
            </w:r>
            <w:r w:rsidR="001A1A30" w:rsidRPr="00C91D83">
              <w:rPr>
                <w:sz w:val="24"/>
                <w:szCs w:val="24"/>
                <w:lang w:val="lv-LV"/>
              </w:rPr>
              <w:t>,</w:t>
            </w:r>
            <w:r w:rsidRPr="00C91D83">
              <w:rPr>
                <w:sz w:val="24"/>
                <w:szCs w:val="24"/>
                <w:lang w:val="lv-LV"/>
              </w:rPr>
              <w:t xml:space="preserve"> pirms noteikt civiltiesisko apgrozību reglamentējošam normatīvam aktam </w:t>
            </w:r>
            <w:r w:rsidRPr="00C91D83">
              <w:rPr>
                <w:sz w:val="24"/>
                <w:szCs w:val="24"/>
                <w:lang w:val="lv-LV"/>
              </w:rPr>
              <w:lastRenderedPageBreak/>
              <w:t>tūlītēju vai retroaktīvu spēku, norādot arī atbilstošu motivāciju un pamatojumu šādai rīcībai.</w:t>
            </w:r>
          </w:p>
          <w:p w14:paraId="4A5E0A2A" w14:textId="77777777" w:rsidR="000315D4" w:rsidRPr="00C91D83" w:rsidRDefault="007C160A" w:rsidP="00845E8A">
            <w:pPr>
              <w:pStyle w:val="ListParagraph"/>
              <w:numPr>
                <w:ilvl w:val="2"/>
                <w:numId w:val="7"/>
              </w:numPr>
              <w:spacing w:before="200"/>
              <w:ind w:left="601" w:hanging="601"/>
              <w:contextualSpacing w:val="0"/>
              <w:jc w:val="both"/>
              <w:rPr>
                <w:rFonts w:ascii="Times New Roman" w:hAnsi="Times New Roman" w:cs="Times New Roman"/>
                <w:b/>
                <w:sz w:val="24"/>
                <w:szCs w:val="24"/>
              </w:rPr>
            </w:pPr>
            <w:r w:rsidRPr="00C91D83">
              <w:rPr>
                <w:rFonts w:ascii="Times New Roman" w:hAnsi="Times New Roman" w:cs="Times New Roman"/>
                <w:b/>
                <w:sz w:val="24"/>
                <w:szCs w:val="24"/>
              </w:rPr>
              <w:t>Kapitāldaļu reģistra vešanas k</w:t>
            </w:r>
            <w:r w:rsidR="00CE27E8" w:rsidRPr="00C91D83">
              <w:rPr>
                <w:rFonts w:ascii="Times New Roman" w:hAnsi="Times New Roman" w:cs="Times New Roman"/>
                <w:b/>
                <w:sz w:val="24"/>
                <w:szCs w:val="24"/>
              </w:rPr>
              <w:t>ārtības pilnveidošanas iespējas</w:t>
            </w:r>
          </w:p>
          <w:p w14:paraId="14B8CB85" w14:textId="77777777" w:rsidR="00422D10" w:rsidRPr="00C91D83" w:rsidRDefault="00422D10" w:rsidP="00845E8A">
            <w:pPr>
              <w:autoSpaceDE w:val="0"/>
              <w:autoSpaceDN w:val="0"/>
              <w:adjustRightInd w:val="0"/>
              <w:spacing w:before="200" w:after="200" w:line="276" w:lineRule="auto"/>
              <w:jc w:val="both"/>
              <w:rPr>
                <w:sz w:val="24"/>
                <w:szCs w:val="24"/>
                <w:lang w:val="lv-LV"/>
              </w:rPr>
            </w:pPr>
            <w:r w:rsidRPr="00C91D83">
              <w:rPr>
                <w:sz w:val="24"/>
                <w:szCs w:val="24"/>
                <w:lang w:val="lv-LV"/>
              </w:rPr>
              <w:t>Saskaņā ar pašreizējo Komerclikuma regulējumu dalībnieku un akcionāru reģistru ved kapitālsabiedrības valde. Dalībnieka vai akcionāra statusu persona iegūst ar brīdi, kad tā tiek ierakstīta dalībnieku vai akcionāru reģistrā. Sabiedrības ar ierobežotu atbildību gadījumā valde dalībnieku reģistru iesniedz Uzņēmumu reģistram pievienošanai sabiedrības lietai, lai tas būtu publiski pieejams. Akciju sabiedrības gadījumā akcionāru reģistrs netiek iesniegts Uzņēmumu reģistram pievienošanai sabiedrības reģist</w:t>
            </w:r>
            <w:r w:rsidR="006306D9" w:rsidRPr="00C91D83">
              <w:rPr>
                <w:sz w:val="24"/>
                <w:szCs w:val="24"/>
                <w:lang w:val="lv-LV"/>
              </w:rPr>
              <w:t xml:space="preserve">rācijas lietai </w:t>
            </w:r>
            <w:r w:rsidR="006F40C4" w:rsidRPr="00C91D83">
              <w:rPr>
                <w:sz w:val="24"/>
                <w:szCs w:val="24"/>
                <w:lang w:val="lv-LV"/>
              </w:rPr>
              <w:t>—</w:t>
            </w:r>
            <w:r w:rsidR="006306D9" w:rsidRPr="00C91D83">
              <w:rPr>
                <w:sz w:val="24"/>
                <w:szCs w:val="24"/>
                <w:lang w:val="lv-LV"/>
              </w:rPr>
              <w:t xml:space="preserve"> </w:t>
            </w:r>
            <w:r w:rsidRPr="00C91D83">
              <w:rPr>
                <w:sz w:val="24"/>
                <w:szCs w:val="24"/>
                <w:lang w:val="lv-LV"/>
              </w:rPr>
              <w:t>akcionāru reģistrs ir pieejams tikai pašā sabiedrībā un nav publiski pieejams citām personām.</w:t>
            </w:r>
          </w:p>
          <w:p w14:paraId="10647420" w14:textId="77777777" w:rsidR="006306D9" w:rsidRPr="00C91D83" w:rsidRDefault="00422D10" w:rsidP="00845E8A">
            <w:pPr>
              <w:autoSpaceDE w:val="0"/>
              <w:autoSpaceDN w:val="0"/>
              <w:adjustRightInd w:val="0"/>
              <w:spacing w:before="200" w:after="200" w:line="276" w:lineRule="auto"/>
              <w:jc w:val="both"/>
              <w:rPr>
                <w:sz w:val="24"/>
                <w:szCs w:val="24"/>
                <w:lang w:val="lv-LV"/>
              </w:rPr>
            </w:pPr>
            <w:r w:rsidRPr="00C91D83">
              <w:rPr>
                <w:sz w:val="24"/>
                <w:szCs w:val="24"/>
                <w:lang w:val="lv-LV"/>
              </w:rPr>
              <w:t>Ar minēto kārtību saistītas dažādas problēmas attiecībā uz dalībnieku un akcionāra tiesību iegūšanu un aizsardzību. Viens no iespējamiem risinājumiem šādām situācijām būtu dalībnieku un akcionāru reģistra vešanas funkcijas nodošana kāda</w:t>
            </w:r>
            <w:r w:rsidR="006306D9" w:rsidRPr="00C91D83">
              <w:rPr>
                <w:sz w:val="24"/>
                <w:szCs w:val="24"/>
                <w:lang w:val="lv-LV"/>
              </w:rPr>
              <w:t>i trešajai personai (iestādei), un šādā gadījumā j</w:t>
            </w:r>
            <w:r w:rsidRPr="00C91D83">
              <w:rPr>
                <w:sz w:val="24"/>
                <w:szCs w:val="24"/>
                <w:lang w:val="lv-LV"/>
              </w:rPr>
              <w:t xml:space="preserve">aunais kapitālsabiedrības daļu vai akciju īpašnieks pats varētu vērsties pie dalībnieku un akcionāru reģistra turētāja, lai tiktu izdarīts attiecīgs ieraksts dalībnieku vai akcionāru reģistrā. Tādējādi tiktu nodrošināts kontroles mehānisms kapitāla daļu īpašnieku maiņai, kas veicinātu kapitāla daļu īpašnieku tiesību aizsardzību. Uz šādu iespēju norādīts jau 2011.gadā, aktualizējot diskusiju par dalībnieku un akcionāru reģistra vešanu, norādot, ka likumā būtu nepieciešams paredzēt kārtību, ka kapitāla daļu īpašniekiem (ar valdes starpniecību) ir </w:t>
            </w:r>
            <w:r w:rsidRPr="00C91D83">
              <w:rPr>
                <w:sz w:val="24"/>
                <w:szCs w:val="24"/>
                <w:u w:val="single"/>
                <w:lang w:val="lv-LV"/>
              </w:rPr>
              <w:t>tiesības</w:t>
            </w:r>
            <w:r w:rsidRPr="00C91D83">
              <w:rPr>
                <w:sz w:val="24"/>
                <w:szCs w:val="24"/>
                <w:lang w:val="lv-LV"/>
              </w:rPr>
              <w:t xml:space="preserve"> dalībnieku reģistru vest valsts nodrošinātā kapitāla daļu reģistrā, vienlaikus nosakot tiesiskās s</w:t>
            </w:r>
            <w:r w:rsidR="002138FE" w:rsidRPr="00C91D83">
              <w:rPr>
                <w:sz w:val="24"/>
                <w:szCs w:val="24"/>
                <w:lang w:val="lv-LV"/>
              </w:rPr>
              <w:t>ekas šāda ieraksta esamībai, t.</w:t>
            </w:r>
            <w:r w:rsidRPr="00C91D83">
              <w:rPr>
                <w:sz w:val="24"/>
                <w:szCs w:val="24"/>
                <w:lang w:val="lv-LV"/>
              </w:rPr>
              <w:t>sk. to, ka šāds ieraksts ir priekšnoteikums no kapitāla daļām izrietošo tiesību izmantošanai un tā ieraksts aizsargā labticīgas trešās personas.</w:t>
            </w:r>
            <w:r w:rsidRPr="00C91D83">
              <w:rPr>
                <w:rStyle w:val="FootnoteReference"/>
                <w:sz w:val="24"/>
                <w:szCs w:val="24"/>
                <w:lang w:val="lv-LV"/>
              </w:rPr>
              <w:footnoteReference w:id="7"/>
            </w:r>
          </w:p>
          <w:p w14:paraId="78C7BC0C" w14:textId="77777777" w:rsidR="00422D10" w:rsidRPr="00C91D83" w:rsidRDefault="00422D10" w:rsidP="00845E8A">
            <w:pPr>
              <w:autoSpaceDE w:val="0"/>
              <w:autoSpaceDN w:val="0"/>
              <w:adjustRightInd w:val="0"/>
              <w:spacing w:before="200" w:after="200" w:line="276" w:lineRule="auto"/>
              <w:jc w:val="both"/>
              <w:rPr>
                <w:sz w:val="24"/>
                <w:szCs w:val="24"/>
                <w:lang w:val="lv-LV"/>
              </w:rPr>
            </w:pPr>
            <w:r w:rsidRPr="00C91D83">
              <w:rPr>
                <w:sz w:val="24"/>
                <w:szCs w:val="24"/>
                <w:lang w:val="lv-LV"/>
              </w:rPr>
              <w:t>Jānorāda, ka Latvijas Centrālais depozitārijs jau šobrīd nodrošina akcionāru reģistra kārtošanu sabiedrībām, kuras to ir pieteikušas brīvprātīgi.</w:t>
            </w:r>
          </w:p>
          <w:p w14:paraId="2186230E" w14:textId="77777777" w:rsidR="000315D4" w:rsidRPr="00C91D83" w:rsidRDefault="00422D10" w:rsidP="00845E8A">
            <w:pPr>
              <w:autoSpaceDE w:val="0"/>
              <w:autoSpaceDN w:val="0"/>
              <w:adjustRightInd w:val="0"/>
              <w:spacing w:before="200" w:after="200" w:line="276" w:lineRule="auto"/>
              <w:jc w:val="both"/>
              <w:rPr>
                <w:sz w:val="24"/>
                <w:szCs w:val="24"/>
                <w:lang w:val="lv-LV"/>
              </w:rPr>
            </w:pPr>
            <w:r w:rsidRPr="00C91D83">
              <w:rPr>
                <w:sz w:val="24"/>
                <w:szCs w:val="24"/>
                <w:lang w:val="lv-LV"/>
              </w:rPr>
              <w:t>Vienlaikus ĀIPL norāda, ka šāds publiskas reģistrācijas pienākums pēc būtības ir uzskatāms par civiltiesību subjektu privātās autonomijas ierobežojumu, tādēļ uzsver, ka šāda iespēja būtu nosakāma tikai kā opcionāla, tas ir,</w:t>
            </w:r>
            <w:r w:rsidR="006306D9" w:rsidRPr="00C91D83">
              <w:rPr>
                <w:sz w:val="24"/>
                <w:szCs w:val="24"/>
                <w:lang w:val="lv-LV"/>
              </w:rPr>
              <w:t xml:space="preserve"> sabiedrības</w:t>
            </w:r>
            <w:r w:rsidRPr="00C91D83">
              <w:rPr>
                <w:sz w:val="24"/>
                <w:szCs w:val="24"/>
                <w:lang w:val="lv-LV"/>
              </w:rPr>
              <w:t xml:space="preserve"> dalībnieki</w:t>
            </w:r>
            <w:r w:rsidR="006306D9" w:rsidRPr="00C91D83">
              <w:rPr>
                <w:sz w:val="24"/>
                <w:szCs w:val="24"/>
                <w:lang w:val="lv-LV"/>
              </w:rPr>
              <w:t>em</w:t>
            </w:r>
            <w:r w:rsidRPr="00C91D83">
              <w:rPr>
                <w:sz w:val="24"/>
                <w:szCs w:val="24"/>
                <w:lang w:val="lv-LV"/>
              </w:rPr>
              <w:t xml:space="preserve"> vai akcionāri</w:t>
            </w:r>
            <w:r w:rsidR="006306D9" w:rsidRPr="00C91D83">
              <w:rPr>
                <w:sz w:val="24"/>
                <w:szCs w:val="24"/>
                <w:lang w:val="lv-LV"/>
              </w:rPr>
              <w:t>em</w:t>
            </w:r>
            <w:r w:rsidRPr="00C91D83">
              <w:rPr>
                <w:sz w:val="24"/>
                <w:szCs w:val="24"/>
                <w:lang w:val="lv-LV"/>
              </w:rPr>
              <w:t xml:space="preserve"> </w:t>
            </w:r>
            <w:r w:rsidR="006306D9" w:rsidRPr="00C91D83">
              <w:rPr>
                <w:sz w:val="24"/>
                <w:szCs w:val="24"/>
                <w:lang w:val="lv-LV"/>
              </w:rPr>
              <w:t>būtu piešķiramas tiesības</w:t>
            </w:r>
            <w:r w:rsidRPr="00C91D83">
              <w:rPr>
                <w:sz w:val="24"/>
                <w:szCs w:val="24"/>
                <w:lang w:val="lv-LV"/>
              </w:rPr>
              <w:t xml:space="preserve"> izvēlēties, vai iesaistīt </w:t>
            </w:r>
            <w:r w:rsidR="006306D9" w:rsidRPr="00C91D83">
              <w:rPr>
                <w:sz w:val="24"/>
                <w:szCs w:val="24"/>
                <w:lang w:val="lv-LV"/>
              </w:rPr>
              <w:t xml:space="preserve">sabiedrības </w:t>
            </w:r>
            <w:r w:rsidRPr="00C91D83">
              <w:rPr>
                <w:sz w:val="24"/>
                <w:szCs w:val="24"/>
                <w:lang w:val="lv-LV"/>
              </w:rPr>
              <w:t>reģistra vešanā trešo personu</w:t>
            </w:r>
            <w:r w:rsidR="006306D9" w:rsidRPr="00C91D83">
              <w:rPr>
                <w:sz w:val="24"/>
                <w:szCs w:val="24"/>
                <w:lang w:val="lv-LV"/>
              </w:rPr>
              <w:t xml:space="preserve"> vai nē</w:t>
            </w:r>
            <w:r w:rsidR="002138FE" w:rsidRPr="00C91D83">
              <w:rPr>
                <w:sz w:val="24"/>
                <w:szCs w:val="24"/>
                <w:lang w:val="lv-LV"/>
              </w:rPr>
              <w:t>.</w:t>
            </w:r>
          </w:p>
          <w:p w14:paraId="31FB8BF4" w14:textId="77777777" w:rsidR="007C160A" w:rsidRPr="00C91D83" w:rsidRDefault="007C160A" w:rsidP="00F30FF2">
            <w:pPr>
              <w:pStyle w:val="ListParagraph"/>
              <w:numPr>
                <w:ilvl w:val="2"/>
                <w:numId w:val="7"/>
              </w:numPr>
              <w:spacing w:before="200"/>
              <w:ind w:left="601" w:hanging="601"/>
              <w:contextualSpacing w:val="0"/>
              <w:rPr>
                <w:rFonts w:ascii="Times New Roman" w:hAnsi="Times New Roman" w:cs="Times New Roman"/>
                <w:b/>
                <w:sz w:val="24"/>
                <w:szCs w:val="24"/>
              </w:rPr>
            </w:pPr>
            <w:r w:rsidRPr="00C91D83">
              <w:rPr>
                <w:rFonts w:ascii="Times New Roman" w:hAnsi="Times New Roman" w:cs="Times New Roman"/>
                <w:b/>
                <w:sz w:val="24"/>
                <w:szCs w:val="24"/>
              </w:rPr>
              <w:t>Normatīvā regulējuma trūkums attiecībā uz kreditoru aizsardzību sabiedrības vajadzībām nepieciešamā nekustamā īpašuma atsa</w:t>
            </w:r>
            <w:r w:rsidR="006306D9" w:rsidRPr="00C91D83">
              <w:rPr>
                <w:rFonts w:ascii="Times New Roman" w:hAnsi="Times New Roman" w:cs="Times New Roman"/>
                <w:b/>
                <w:sz w:val="24"/>
                <w:szCs w:val="24"/>
              </w:rPr>
              <w:t>vināšanas procesā</w:t>
            </w:r>
          </w:p>
          <w:p w14:paraId="1A34EE81" w14:textId="77777777" w:rsidR="004B557D" w:rsidRPr="00C91D83" w:rsidRDefault="004B557D" w:rsidP="00845E8A">
            <w:pPr>
              <w:pStyle w:val="SLONormal"/>
              <w:spacing w:before="200" w:after="200" w:line="276" w:lineRule="auto"/>
              <w:rPr>
                <w:noProof w:val="0"/>
                <w:lang w:val="lv-LV"/>
              </w:rPr>
            </w:pPr>
            <w:bookmarkStart w:id="2" w:name="_Toc327467258"/>
            <w:r w:rsidRPr="00C91D83">
              <w:rPr>
                <w:noProof w:val="0"/>
                <w:lang w:val="lv-LV"/>
              </w:rPr>
              <w:t>Sabiedrības vajadzībām nepieciešamā nekustamā īpašuma atsavināšanas likuma 16.panta pirmā daļa šobrīd nosaka, ka „</w:t>
            </w:r>
            <w:r w:rsidRPr="00C91D83">
              <w:rPr>
                <w:i/>
                <w:noProof w:val="0"/>
                <w:lang w:val="lv-LV"/>
              </w:rPr>
              <w:t xml:space="preserve">nostiprinot zemesgrāmatā īpašuma tiesības uz nekustamo īpašumu, kas atsavināts, pamatojoties uz likumu par konkrētā nekustamā īpašuma atsavināšanu, attiecīgais nekustamais īpašums pāriet valsts vai pašvaldības īpašumā brīvs no visiem apgrūtinājumiem un nastām, kuras nekustamajam īpašumam bija uzliktas saistību rezultātā (tai skaitā visas uz šo nekustamo īpašumu ierakstītās parādu saistības, ķīlas tiesības, prasības nodrošinājuma atzīmes, maksātnespējas atzīmes, procesa virzītāju aizliegumi, apgrūtinājumi, kas pieņemti kā nosacījums, īpašumu iegūstot, kā arī nomas, īres, uztura un mantojuma līgumi) un par kurām institūcija nav </w:t>
            </w:r>
            <w:r w:rsidRPr="00C91D83">
              <w:rPr>
                <w:i/>
                <w:noProof w:val="0"/>
                <w:lang w:val="lv-LV"/>
              </w:rPr>
              <w:lastRenderedPageBreak/>
              <w:t>tieši paziņojusi, ka tā uzņemas attiecīgos apgrūtinājumus un nastas</w:t>
            </w:r>
            <w:r w:rsidRPr="00C91D83">
              <w:rPr>
                <w:noProof w:val="0"/>
                <w:lang w:val="lv-LV"/>
              </w:rPr>
              <w:t>”</w:t>
            </w:r>
            <w:r w:rsidR="00591800" w:rsidRPr="00C91D83">
              <w:rPr>
                <w:noProof w:val="0"/>
                <w:lang w:val="lv-LV"/>
              </w:rPr>
              <w:t>.</w:t>
            </w:r>
          </w:p>
          <w:p w14:paraId="7BAE7CB0" w14:textId="77777777" w:rsidR="00BB7A1A" w:rsidRPr="00C91D83" w:rsidRDefault="00BB7A1A" w:rsidP="00845E8A">
            <w:pPr>
              <w:pStyle w:val="SLONormal"/>
              <w:spacing w:before="200" w:after="200" w:line="276" w:lineRule="auto"/>
              <w:rPr>
                <w:noProof w:val="0"/>
                <w:lang w:val="lv-LV"/>
              </w:rPr>
            </w:pPr>
            <w:r w:rsidRPr="00C91D83">
              <w:rPr>
                <w:noProof w:val="0"/>
                <w:lang w:val="lv-LV"/>
              </w:rPr>
              <w:t>No likuma anotācijas izriet, ka personām, kurām no</w:t>
            </w:r>
            <w:r w:rsidR="005C7151" w:rsidRPr="00C91D83">
              <w:rPr>
                <w:noProof w:val="0"/>
                <w:lang w:val="lv-LV"/>
              </w:rPr>
              <w:t xml:space="preserve"> sabiedrības vajadzībām atsavinām</w:t>
            </w:r>
            <w:r w:rsidR="0019438E" w:rsidRPr="00C91D83">
              <w:rPr>
                <w:noProof w:val="0"/>
                <w:lang w:val="lv-LV"/>
              </w:rPr>
              <w:t>ajam</w:t>
            </w:r>
            <w:r w:rsidRPr="00C91D83">
              <w:rPr>
                <w:noProof w:val="0"/>
                <w:lang w:val="lv-LV"/>
              </w:rPr>
              <w:t xml:space="preserve"> nekustamajam īpašumam reģistrētajiem apgrūtinājumiem un nastām izriet kādas tiesības, saglābjas </w:t>
            </w:r>
            <w:r w:rsidR="005C7151" w:rsidRPr="00C91D83">
              <w:rPr>
                <w:noProof w:val="0"/>
                <w:lang w:val="lv-LV"/>
              </w:rPr>
              <w:t xml:space="preserve">vienīgi </w:t>
            </w:r>
            <w:r w:rsidRPr="00C91D83">
              <w:rPr>
                <w:noProof w:val="0"/>
                <w:lang w:val="lv-LV"/>
              </w:rPr>
              <w:t>personiska prasība pret nekustamā īpašuma īpašnieku</w:t>
            </w:r>
            <w:r w:rsidR="005C7151" w:rsidRPr="00C91D83">
              <w:rPr>
                <w:noProof w:val="0"/>
                <w:lang w:val="lv-LV"/>
              </w:rPr>
              <w:t>.</w:t>
            </w:r>
            <w:r w:rsidR="005C7151" w:rsidRPr="00C91D83">
              <w:rPr>
                <w:rStyle w:val="FootnoteReference"/>
                <w:noProof w:val="0"/>
                <w:lang w:val="lv-LV"/>
              </w:rPr>
              <w:footnoteReference w:id="8"/>
            </w:r>
            <w:r w:rsidR="002B6249" w:rsidRPr="00C91D83">
              <w:rPr>
                <w:noProof w:val="0"/>
                <w:lang w:val="lv-LV"/>
              </w:rPr>
              <w:t xml:space="preserve"> Sabiedrības vajadzībām nepieciešamā nekustamā īpašuma atsavināšanas likums šobrīd neparedz nekustamā īpašuma īpašnieku kreditoru iesaisti vai interešu aizsardzību nekustamā īp</w:t>
            </w:r>
            <w:r w:rsidR="002D2B7E" w:rsidRPr="00C91D83">
              <w:rPr>
                <w:noProof w:val="0"/>
                <w:lang w:val="lv-LV"/>
              </w:rPr>
              <w:t>a</w:t>
            </w:r>
            <w:r w:rsidR="002B6249" w:rsidRPr="00C91D83">
              <w:rPr>
                <w:noProof w:val="0"/>
                <w:lang w:val="lv-LV"/>
              </w:rPr>
              <w:t>šuma atsavināšanas procesā.</w:t>
            </w:r>
          </w:p>
          <w:p w14:paraId="6FF2641F" w14:textId="77777777" w:rsidR="00AA4649" w:rsidRPr="00C91D83" w:rsidRDefault="00AA4649" w:rsidP="00845E8A">
            <w:pPr>
              <w:pStyle w:val="SLONormal"/>
              <w:spacing w:before="200" w:after="200" w:line="276" w:lineRule="auto"/>
              <w:rPr>
                <w:noProof w:val="0"/>
                <w:lang w:val="lv-LV"/>
              </w:rPr>
            </w:pPr>
            <w:r w:rsidRPr="00C91D83">
              <w:rPr>
                <w:noProof w:val="0"/>
                <w:lang w:val="lv-LV"/>
              </w:rPr>
              <w:t>Juridiskajā literatūrā attiecībā uz taisnīgumu piespiedu atsavināšanā kā pamatprincips norādīts, ka atsavināšanas rezultātā īpašnieks nevar būt nostādīts ne labākā, ne sliktākā stāvoklī, jo pretējā gadījumā netiktu panākts taisnīgs līdzsvars, kas ir taisnīgas atlīdzības pamatā.</w:t>
            </w:r>
            <w:r w:rsidRPr="00C91D83">
              <w:rPr>
                <w:rStyle w:val="FootnoteReference"/>
                <w:noProof w:val="0"/>
                <w:lang w:val="lv-LV"/>
              </w:rPr>
              <w:footnoteReference w:id="9"/>
            </w:r>
            <w:r w:rsidRPr="00C91D83">
              <w:rPr>
                <w:noProof w:val="0"/>
                <w:lang w:val="lv-LV"/>
              </w:rPr>
              <w:t xml:space="preserve"> Arī Sabiedrības vajadzībām nepieciešamā nekustamā īpašuma atsavināšanas likuma 21.pants noteic, ka nekustamā īpašuma bijušajam īpašniekam nosakāma atlīdzība, kas nodrošina tādu mantisko stāvokli, kas ir līdzvērtīgs viņa iepriekšējam mantiskajam stāvoklim.</w:t>
            </w:r>
          </w:p>
          <w:p w14:paraId="40F7E097" w14:textId="77777777" w:rsidR="00DD371E" w:rsidRPr="00C91D83" w:rsidRDefault="00AA4649" w:rsidP="00845E8A">
            <w:pPr>
              <w:pStyle w:val="SLONormal"/>
              <w:spacing w:before="200" w:after="200" w:line="276" w:lineRule="auto"/>
              <w:rPr>
                <w:noProof w:val="0"/>
                <w:lang w:val="lv-LV"/>
              </w:rPr>
            </w:pPr>
            <w:r w:rsidRPr="00C91D83">
              <w:rPr>
                <w:noProof w:val="0"/>
                <w:lang w:val="lv-LV"/>
              </w:rPr>
              <w:t>Par taisnīgu nebūtu atzīstama situ</w:t>
            </w:r>
            <w:r w:rsidR="00551FEF" w:rsidRPr="00C91D83">
              <w:rPr>
                <w:noProof w:val="0"/>
                <w:lang w:val="lv-LV"/>
              </w:rPr>
              <w:t>ācija, ja valstij</w:t>
            </w:r>
            <w:r w:rsidRPr="00C91D83">
              <w:rPr>
                <w:noProof w:val="0"/>
                <w:lang w:val="lv-LV"/>
              </w:rPr>
              <w:t xml:space="preserve"> vai pašvaldība</w:t>
            </w:r>
            <w:r w:rsidR="00551FEF" w:rsidRPr="00C91D83">
              <w:rPr>
                <w:noProof w:val="0"/>
                <w:lang w:val="lv-LV"/>
              </w:rPr>
              <w:t>i tiktu uzlikts pienākums segt</w:t>
            </w:r>
            <w:r w:rsidRPr="00C91D83">
              <w:rPr>
                <w:noProof w:val="0"/>
                <w:lang w:val="lv-LV"/>
              </w:rPr>
              <w:t xml:space="preserve"> visas nekustamā īpašuma īpašnieka ar nekustamo īpašumu nodrošinātās, bet vēl nesegtās parādsaistības un </w:t>
            </w:r>
            <w:r w:rsidR="00551FEF" w:rsidRPr="00C91D83">
              <w:rPr>
                <w:noProof w:val="0"/>
                <w:lang w:val="lv-LV"/>
              </w:rPr>
              <w:t>tikai pēc tam</w:t>
            </w:r>
            <w:r w:rsidRPr="00C91D83">
              <w:rPr>
                <w:noProof w:val="0"/>
                <w:lang w:val="lv-LV"/>
              </w:rPr>
              <w:t xml:space="preserve"> tiktu dzēsta uz nekustamo īpašumu nostiprinātā hipotēka, jo tādā gadī</w:t>
            </w:r>
            <w:r w:rsidR="00F26756" w:rsidRPr="00C91D83">
              <w:rPr>
                <w:noProof w:val="0"/>
                <w:lang w:val="lv-LV"/>
              </w:rPr>
              <w:t>j</w:t>
            </w:r>
            <w:r w:rsidRPr="00C91D83">
              <w:rPr>
                <w:noProof w:val="0"/>
                <w:lang w:val="lv-LV"/>
              </w:rPr>
              <w:t xml:space="preserve">umā īpašnieks iedzīvotos uz valsts vai pašvaldības rēķina </w:t>
            </w:r>
            <w:r w:rsidR="006F40C4" w:rsidRPr="00C91D83">
              <w:rPr>
                <w:noProof w:val="0"/>
                <w:lang w:val="lv-LV"/>
              </w:rPr>
              <w:t>—</w:t>
            </w:r>
            <w:r w:rsidRPr="00C91D83">
              <w:rPr>
                <w:noProof w:val="0"/>
                <w:lang w:val="lv-LV"/>
              </w:rPr>
              <w:t xml:space="preserve"> </w:t>
            </w:r>
            <w:r w:rsidR="00551FEF" w:rsidRPr="00C91D83">
              <w:rPr>
                <w:noProof w:val="0"/>
                <w:lang w:val="lv-LV"/>
              </w:rPr>
              <w:t xml:space="preserve">nekustamā īpašuma </w:t>
            </w:r>
            <w:r w:rsidRPr="00C91D83">
              <w:rPr>
                <w:noProof w:val="0"/>
                <w:lang w:val="lv-LV"/>
              </w:rPr>
              <w:t xml:space="preserve">īpašniekam vairs nebūtu parāda atmaksas saistību, lai gan pirms atsavināšanas šādas saistības pastāvējušas. </w:t>
            </w:r>
            <w:r w:rsidR="002B6249" w:rsidRPr="00C91D83">
              <w:rPr>
                <w:noProof w:val="0"/>
                <w:lang w:val="lv-LV"/>
              </w:rPr>
              <w:t>Tādu</w:t>
            </w:r>
            <w:r w:rsidRPr="00C91D83">
              <w:rPr>
                <w:noProof w:val="0"/>
                <w:lang w:val="lv-LV"/>
              </w:rPr>
              <w:t xml:space="preserve"> risinājumu nebūtu pamata a</w:t>
            </w:r>
            <w:r w:rsidR="00F26756" w:rsidRPr="00C91D83">
              <w:rPr>
                <w:noProof w:val="0"/>
                <w:lang w:val="lv-LV"/>
              </w:rPr>
              <w:t>tzīt par līdzvērtīgu situāciju.</w:t>
            </w:r>
          </w:p>
          <w:p w14:paraId="006FC6EB" w14:textId="77777777" w:rsidR="005C7151" w:rsidRPr="00C91D83" w:rsidRDefault="00551FEF" w:rsidP="00845E8A">
            <w:pPr>
              <w:pStyle w:val="SLONormal"/>
              <w:spacing w:before="200" w:after="200" w:line="276" w:lineRule="auto"/>
              <w:rPr>
                <w:noProof w:val="0"/>
                <w:lang w:val="lv-LV"/>
              </w:rPr>
            </w:pPr>
            <w:r w:rsidRPr="00C91D83">
              <w:rPr>
                <w:noProof w:val="0"/>
                <w:lang w:val="lv-LV"/>
              </w:rPr>
              <w:t xml:space="preserve">Vienlaikus </w:t>
            </w:r>
            <w:r w:rsidR="005C7151" w:rsidRPr="00C91D83">
              <w:rPr>
                <w:noProof w:val="0"/>
                <w:lang w:val="lv-LV"/>
              </w:rPr>
              <w:t xml:space="preserve">ĀIPL ieskatā </w:t>
            </w:r>
            <w:r w:rsidRPr="00C91D83">
              <w:rPr>
                <w:noProof w:val="0"/>
                <w:lang w:val="lv-LV"/>
              </w:rPr>
              <w:t>ne</w:t>
            </w:r>
            <w:r w:rsidR="005C7151" w:rsidRPr="00C91D83">
              <w:rPr>
                <w:noProof w:val="0"/>
                <w:lang w:val="lv-LV"/>
              </w:rPr>
              <w:t>būtu</w:t>
            </w:r>
            <w:r w:rsidRPr="00C91D83">
              <w:rPr>
                <w:noProof w:val="0"/>
                <w:lang w:val="lv-LV"/>
              </w:rPr>
              <w:t xml:space="preserve"> pieļaujama arī situācija, ka likums neparedz nekādu kreditoru interešu aizsardzību nekustamā </w:t>
            </w:r>
            <w:r w:rsidR="00293619" w:rsidRPr="00C91D83">
              <w:rPr>
                <w:noProof w:val="0"/>
                <w:lang w:val="lv-LV"/>
              </w:rPr>
              <w:t>īpašuma</w:t>
            </w:r>
            <w:r w:rsidRPr="00C91D83">
              <w:rPr>
                <w:noProof w:val="0"/>
                <w:lang w:val="lv-LV"/>
              </w:rPr>
              <w:t xml:space="preserve"> atsavināšanas procesā. Tādēļ</w:t>
            </w:r>
            <w:r w:rsidR="005C7151" w:rsidRPr="00C91D83">
              <w:rPr>
                <w:noProof w:val="0"/>
                <w:lang w:val="lv-LV"/>
              </w:rPr>
              <w:t xml:space="preserve"> </w:t>
            </w:r>
            <w:r w:rsidR="00E163D0" w:rsidRPr="00C91D83">
              <w:rPr>
                <w:noProof w:val="0"/>
                <w:lang w:val="lv-LV"/>
              </w:rPr>
              <w:t>ĀIPL ierosina</w:t>
            </w:r>
            <w:r w:rsidRPr="00C91D83">
              <w:rPr>
                <w:noProof w:val="0"/>
                <w:lang w:val="lv-LV"/>
              </w:rPr>
              <w:t xml:space="preserve"> </w:t>
            </w:r>
            <w:r w:rsidR="005C7151" w:rsidRPr="00C91D83">
              <w:rPr>
                <w:noProof w:val="0"/>
                <w:lang w:val="lv-LV"/>
              </w:rPr>
              <w:t>izdarīt grozījumus Sabiedrības vajadzībām nepieciešamā nekustamā īpašuma atsavināšanas likumā, nodrošinot</w:t>
            </w:r>
            <w:r w:rsidR="00E163D0" w:rsidRPr="00C91D83">
              <w:rPr>
                <w:noProof w:val="0"/>
                <w:lang w:val="lv-LV"/>
              </w:rPr>
              <w:t xml:space="preserve"> </w:t>
            </w:r>
            <w:r w:rsidR="005C7151" w:rsidRPr="00C91D83">
              <w:rPr>
                <w:noProof w:val="0"/>
                <w:lang w:val="lv-LV"/>
              </w:rPr>
              <w:t>hipotekāro kreditoru iesaist</w:t>
            </w:r>
            <w:r w:rsidRPr="00C91D83">
              <w:rPr>
                <w:noProof w:val="0"/>
                <w:lang w:val="lv-LV"/>
              </w:rPr>
              <w:t>i un</w:t>
            </w:r>
            <w:r w:rsidR="00E163D0" w:rsidRPr="00C91D83">
              <w:rPr>
                <w:noProof w:val="0"/>
                <w:lang w:val="lv-LV"/>
              </w:rPr>
              <w:t xml:space="preserve"> nosakot</w:t>
            </w:r>
            <w:r w:rsidRPr="00C91D83">
              <w:rPr>
                <w:noProof w:val="0"/>
                <w:lang w:val="lv-LV"/>
              </w:rPr>
              <w:t xml:space="preserve"> šādas iesaistes veidus</w:t>
            </w:r>
            <w:r w:rsidR="005C7151" w:rsidRPr="00C91D83">
              <w:rPr>
                <w:noProof w:val="0"/>
                <w:lang w:val="lv-LV"/>
              </w:rPr>
              <w:t>.</w:t>
            </w:r>
          </w:p>
          <w:bookmarkEnd w:id="2"/>
          <w:p w14:paraId="5B2ED27A" w14:textId="77777777" w:rsidR="007C160A" w:rsidRPr="00C91D83" w:rsidRDefault="007C160A" w:rsidP="00D97EF1">
            <w:pPr>
              <w:pStyle w:val="ListParagraph"/>
              <w:numPr>
                <w:ilvl w:val="2"/>
                <w:numId w:val="7"/>
              </w:numPr>
              <w:spacing w:before="200"/>
              <w:ind w:left="601" w:hanging="601"/>
              <w:contextualSpacing w:val="0"/>
              <w:rPr>
                <w:rFonts w:ascii="Times New Roman" w:hAnsi="Times New Roman" w:cs="Times New Roman"/>
                <w:b/>
                <w:sz w:val="24"/>
                <w:szCs w:val="24"/>
              </w:rPr>
            </w:pPr>
            <w:r w:rsidRPr="00C91D83">
              <w:rPr>
                <w:rFonts w:ascii="Times New Roman" w:hAnsi="Times New Roman" w:cs="Times New Roman"/>
                <w:b/>
                <w:sz w:val="24"/>
                <w:szCs w:val="24"/>
              </w:rPr>
              <w:t xml:space="preserve">Grozījumi likumā </w:t>
            </w:r>
            <w:r w:rsidR="00E163D0" w:rsidRPr="00C91D83">
              <w:rPr>
                <w:rFonts w:ascii="Times New Roman" w:hAnsi="Times New Roman" w:cs="Times New Roman"/>
                <w:b/>
                <w:sz w:val="24"/>
                <w:szCs w:val="24"/>
              </w:rPr>
              <w:t>„P</w:t>
            </w:r>
            <w:r w:rsidRPr="00C91D83">
              <w:rPr>
                <w:rFonts w:ascii="Times New Roman" w:hAnsi="Times New Roman" w:cs="Times New Roman"/>
                <w:b/>
                <w:sz w:val="24"/>
                <w:szCs w:val="24"/>
              </w:rPr>
              <w:t>ar uzņēmumu ienākuma nodokli</w:t>
            </w:r>
            <w:r w:rsidR="00E163D0" w:rsidRPr="00C91D83">
              <w:rPr>
                <w:rFonts w:ascii="Times New Roman" w:hAnsi="Times New Roman" w:cs="Times New Roman"/>
                <w:b/>
                <w:sz w:val="24"/>
                <w:szCs w:val="24"/>
              </w:rPr>
              <w:t>”</w:t>
            </w:r>
            <w:r w:rsidRPr="00C91D83">
              <w:rPr>
                <w:rFonts w:ascii="Times New Roman" w:hAnsi="Times New Roman" w:cs="Times New Roman"/>
                <w:b/>
                <w:sz w:val="24"/>
                <w:szCs w:val="24"/>
              </w:rPr>
              <w:t xml:space="preserve"> saistībā</w:t>
            </w:r>
            <w:r w:rsidR="00D97EF1" w:rsidRPr="00C91D83">
              <w:rPr>
                <w:rFonts w:ascii="Times New Roman" w:hAnsi="Times New Roman" w:cs="Times New Roman"/>
                <w:b/>
                <w:sz w:val="24"/>
                <w:szCs w:val="24"/>
              </w:rPr>
              <w:t xml:space="preserve"> ar</w:t>
            </w:r>
            <w:r w:rsidRPr="00C91D83">
              <w:rPr>
                <w:rFonts w:ascii="Times New Roman" w:hAnsi="Times New Roman" w:cs="Times New Roman"/>
                <w:b/>
                <w:sz w:val="24"/>
                <w:szCs w:val="24"/>
              </w:rPr>
              <w:t xml:space="preserve"> likvidēto iespēju pārnest zaudējumus uzņēmumu grupās un t</w:t>
            </w:r>
            <w:r w:rsidR="003F26D6" w:rsidRPr="00C91D83">
              <w:rPr>
                <w:rFonts w:ascii="Times New Roman" w:hAnsi="Times New Roman" w:cs="Times New Roman"/>
                <w:b/>
                <w:sz w:val="24"/>
                <w:szCs w:val="24"/>
              </w:rPr>
              <w:t>ās</w:t>
            </w:r>
            <w:r w:rsidRPr="00C91D83">
              <w:rPr>
                <w:rFonts w:ascii="Times New Roman" w:hAnsi="Times New Roman" w:cs="Times New Roman"/>
                <w:b/>
                <w:sz w:val="24"/>
                <w:szCs w:val="24"/>
              </w:rPr>
              <w:t xml:space="preserve"> nega</w:t>
            </w:r>
            <w:r w:rsidR="00946093" w:rsidRPr="00C91D83">
              <w:rPr>
                <w:rFonts w:ascii="Times New Roman" w:hAnsi="Times New Roman" w:cs="Times New Roman"/>
                <w:b/>
                <w:sz w:val="24"/>
                <w:szCs w:val="24"/>
              </w:rPr>
              <w:t>tīvā ietekme uz holdingu režīmu</w:t>
            </w:r>
          </w:p>
          <w:p w14:paraId="2E4D7980" w14:textId="77777777" w:rsidR="00946093" w:rsidRPr="00C91D83" w:rsidRDefault="00115094" w:rsidP="00845E8A">
            <w:pPr>
              <w:pStyle w:val="ListParagraph"/>
              <w:spacing w:before="200"/>
              <w:ind w:left="0"/>
              <w:contextualSpacing w:val="0"/>
              <w:jc w:val="both"/>
              <w:rPr>
                <w:rFonts w:ascii="Times New Roman" w:hAnsi="Times New Roman" w:cs="Times New Roman"/>
                <w:sz w:val="24"/>
                <w:szCs w:val="24"/>
              </w:rPr>
            </w:pPr>
            <w:r w:rsidRPr="00C91D83">
              <w:rPr>
                <w:rFonts w:ascii="Times New Roman" w:hAnsi="Times New Roman" w:cs="Times New Roman"/>
                <w:sz w:val="24"/>
                <w:szCs w:val="24"/>
              </w:rPr>
              <w:t>2014.gada 1.</w:t>
            </w:r>
            <w:r w:rsidR="00946093" w:rsidRPr="00C91D83">
              <w:rPr>
                <w:rFonts w:ascii="Times New Roman" w:hAnsi="Times New Roman" w:cs="Times New Roman"/>
                <w:sz w:val="24"/>
                <w:szCs w:val="24"/>
              </w:rPr>
              <w:t>janvārī stājās spēkā pietiekami apjomīgi grozījumi likumā „Par uzņēmumu ienākuma nodokli”. Viena no būtiskākajām izmaiņām, kas ietekmē holdinga režīmu izmantošanu Latvijā, ir likuma 14.</w:t>
            </w:r>
            <w:r w:rsidR="00946093" w:rsidRPr="00C91D83">
              <w:rPr>
                <w:rFonts w:ascii="Times New Roman" w:hAnsi="Times New Roman" w:cs="Times New Roman"/>
                <w:sz w:val="24"/>
                <w:szCs w:val="24"/>
                <w:vertAlign w:val="superscript"/>
              </w:rPr>
              <w:t>1</w:t>
            </w:r>
            <w:r w:rsidR="00946093" w:rsidRPr="00C91D83">
              <w:rPr>
                <w:rFonts w:ascii="Times New Roman" w:hAnsi="Times New Roman" w:cs="Times New Roman"/>
                <w:sz w:val="24"/>
                <w:szCs w:val="24"/>
              </w:rPr>
              <w:t>pant</w:t>
            </w:r>
            <w:r w:rsidR="00BD28A8" w:rsidRPr="00C91D83">
              <w:rPr>
                <w:rFonts w:ascii="Times New Roman" w:hAnsi="Times New Roman" w:cs="Times New Roman"/>
                <w:sz w:val="24"/>
                <w:szCs w:val="24"/>
              </w:rPr>
              <w:t>a</w:t>
            </w:r>
            <w:r w:rsidR="00946093" w:rsidRPr="00C91D83">
              <w:rPr>
                <w:rFonts w:ascii="Times New Roman" w:hAnsi="Times New Roman" w:cs="Times New Roman"/>
                <w:sz w:val="24"/>
                <w:szCs w:val="24"/>
              </w:rPr>
              <w:t xml:space="preserve"> izslēgšan</w:t>
            </w:r>
            <w:r w:rsidR="00BD28A8" w:rsidRPr="00C91D83">
              <w:rPr>
                <w:rFonts w:ascii="Times New Roman" w:hAnsi="Times New Roman" w:cs="Times New Roman"/>
                <w:sz w:val="24"/>
                <w:szCs w:val="24"/>
              </w:rPr>
              <w:t>a</w:t>
            </w:r>
            <w:r w:rsidR="00946093" w:rsidRPr="00C91D83">
              <w:rPr>
                <w:rFonts w:ascii="Times New Roman" w:hAnsi="Times New Roman" w:cs="Times New Roman"/>
                <w:sz w:val="24"/>
                <w:szCs w:val="24"/>
              </w:rPr>
              <w:t>, k</w:t>
            </w:r>
            <w:r w:rsidRPr="00C91D83">
              <w:rPr>
                <w:rFonts w:ascii="Times New Roman" w:hAnsi="Times New Roman" w:cs="Times New Roman"/>
                <w:sz w:val="24"/>
                <w:szCs w:val="24"/>
              </w:rPr>
              <w:t>as faktiski nozīmē, ka no 2014.gada 1.</w:t>
            </w:r>
            <w:r w:rsidR="00946093" w:rsidRPr="00C91D83">
              <w:rPr>
                <w:rFonts w:ascii="Times New Roman" w:hAnsi="Times New Roman" w:cs="Times New Roman"/>
                <w:sz w:val="24"/>
                <w:szCs w:val="24"/>
              </w:rPr>
              <w:t>janvāra tiek atcelta zaudējumu pārnešana uzņēmumu grupā.</w:t>
            </w:r>
          </w:p>
          <w:p w14:paraId="6D3AE702" w14:textId="77777777" w:rsidR="00BD28A8" w:rsidRPr="00C91D83" w:rsidRDefault="00BD28A8" w:rsidP="00845E8A">
            <w:pPr>
              <w:spacing w:before="200" w:after="200" w:line="276" w:lineRule="auto"/>
              <w:jc w:val="both"/>
              <w:rPr>
                <w:snapToGrid/>
                <w:sz w:val="24"/>
                <w:szCs w:val="24"/>
                <w:lang w:val="lv-LV"/>
              </w:rPr>
            </w:pPr>
            <w:r w:rsidRPr="00C91D83">
              <w:rPr>
                <w:sz w:val="24"/>
                <w:szCs w:val="24"/>
                <w:lang w:val="lv-LV"/>
              </w:rPr>
              <w:t>Likumprojekta anotācijā</w:t>
            </w:r>
            <w:r w:rsidRPr="00C91D83">
              <w:rPr>
                <w:rStyle w:val="FootnoteReference"/>
                <w:sz w:val="24"/>
                <w:szCs w:val="24"/>
                <w:lang w:val="lv-LV"/>
              </w:rPr>
              <w:footnoteReference w:id="10"/>
            </w:r>
            <w:r w:rsidRPr="00C91D83">
              <w:rPr>
                <w:sz w:val="24"/>
                <w:szCs w:val="24"/>
                <w:lang w:val="lv-LV"/>
              </w:rPr>
              <w:t xml:space="preserve"> kā pamatojums šīm izmaiņām norādīts tas, ka Ministru kabineta 2013.gada 27.augus</w:t>
            </w:r>
            <w:r w:rsidR="00115094" w:rsidRPr="00C91D83">
              <w:rPr>
                <w:sz w:val="24"/>
                <w:szCs w:val="24"/>
                <w:lang w:val="lv-LV"/>
              </w:rPr>
              <w:t>ta sēdē tika nolemts līdz 2020.</w:t>
            </w:r>
            <w:r w:rsidRPr="00C91D83">
              <w:rPr>
                <w:sz w:val="24"/>
                <w:szCs w:val="24"/>
                <w:lang w:val="lv-LV"/>
              </w:rPr>
              <w:t>gadam pagarināt nodokļa atvieglojumu par jaunajām ražošanas tehnoloģiskajām iekārtām un par veiktajiem ieguldījumiem atbalstāmajos investīciju projektos virs 10 milj. EUR, kā arī</w:t>
            </w:r>
            <w:r w:rsidRPr="00C91D83">
              <w:rPr>
                <w:i/>
                <w:sz w:val="24"/>
                <w:szCs w:val="24"/>
                <w:lang w:val="lv-LV"/>
              </w:rPr>
              <w:t xml:space="preserve"> </w:t>
            </w:r>
            <w:r w:rsidR="00115094" w:rsidRPr="00C91D83">
              <w:rPr>
                <w:sz w:val="24"/>
                <w:szCs w:val="24"/>
                <w:lang w:val="lv-LV"/>
              </w:rPr>
              <w:t>no 2014.gada 1.</w:t>
            </w:r>
            <w:r w:rsidRPr="00C91D83">
              <w:rPr>
                <w:sz w:val="24"/>
                <w:szCs w:val="24"/>
                <w:lang w:val="lv-LV"/>
              </w:rPr>
              <w:t xml:space="preserve">jūlija ieviest jaunu atvieglojumu pētniecības un attīstības veicināšanai. </w:t>
            </w:r>
            <w:r w:rsidR="00115094" w:rsidRPr="00C91D83">
              <w:rPr>
                <w:snapToGrid/>
                <w:sz w:val="24"/>
                <w:szCs w:val="24"/>
                <w:lang w:val="lv-LV"/>
              </w:rPr>
              <w:t>Lai šīs izmaiņas īstermiņā</w:t>
            </w:r>
            <w:r w:rsidRPr="00C91D83">
              <w:rPr>
                <w:snapToGrid/>
                <w:sz w:val="24"/>
                <w:szCs w:val="24"/>
                <w:lang w:val="lv-LV"/>
              </w:rPr>
              <w:t xml:space="preserve"> un ilgtermiņā neradītu negatīvu fiskālo ietekmi uz valsts kopbudžetu, pārskatot esošo uzņēmumu ienākuma nodokļa atvieglojumu efektivitāti, esot nolemts no 2014.gada 1.janvāra atcelt esošo atvieglojumu zaudējumu pārnešanai </w:t>
            </w:r>
            <w:r w:rsidRPr="00C91D83">
              <w:rPr>
                <w:snapToGrid/>
                <w:sz w:val="24"/>
                <w:szCs w:val="24"/>
                <w:lang w:val="lv-LV"/>
              </w:rPr>
              <w:lastRenderedPageBreak/>
              <w:t>uzņēmumu grupā.</w:t>
            </w:r>
          </w:p>
          <w:p w14:paraId="07BD2AD2" w14:textId="77777777" w:rsidR="00946093" w:rsidRDefault="00BD28A8" w:rsidP="00845E8A">
            <w:pPr>
              <w:pStyle w:val="ListParagraph"/>
              <w:spacing w:before="200"/>
              <w:ind w:left="0"/>
              <w:contextualSpacing w:val="0"/>
              <w:jc w:val="both"/>
              <w:rPr>
                <w:rFonts w:ascii="Times New Roman" w:hAnsi="Times New Roman" w:cs="Times New Roman"/>
                <w:sz w:val="24"/>
                <w:szCs w:val="24"/>
              </w:rPr>
            </w:pPr>
            <w:r w:rsidRPr="00C91D83">
              <w:rPr>
                <w:rFonts w:ascii="Times New Roman" w:hAnsi="Times New Roman" w:cs="Times New Roman"/>
                <w:sz w:val="24"/>
                <w:szCs w:val="24"/>
              </w:rPr>
              <w:t xml:space="preserve">ĀIPL vēlas norādīt, ka </w:t>
            </w:r>
            <w:r w:rsidR="00D27D81" w:rsidRPr="00C91D83">
              <w:rPr>
                <w:rFonts w:ascii="Times New Roman" w:hAnsi="Times New Roman" w:cs="Times New Roman"/>
                <w:sz w:val="24"/>
                <w:szCs w:val="24"/>
              </w:rPr>
              <w:t>valsts mērķiem attiecībā uz investoru un holdinguzņēmumu piesaisti jābūt skaidriem un konkrētiem.</w:t>
            </w:r>
            <w:r w:rsidR="004D09B3" w:rsidRPr="00C91D83">
              <w:rPr>
                <w:rFonts w:ascii="Times New Roman" w:hAnsi="Times New Roman" w:cs="Times New Roman"/>
                <w:sz w:val="24"/>
                <w:szCs w:val="24"/>
              </w:rPr>
              <w:t xml:space="preserve"> Tikai 2013.gadā </w:t>
            </w:r>
            <w:r w:rsidR="00957D09" w:rsidRPr="00C91D83">
              <w:rPr>
                <w:rFonts w:ascii="Times New Roman" w:hAnsi="Times New Roman" w:cs="Times New Roman"/>
                <w:sz w:val="24"/>
                <w:szCs w:val="24"/>
              </w:rPr>
              <w:t xml:space="preserve">likumā </w:t>
            </w:r>
            <w:r w:rsidR="00930D7E" w:rsidRPr="00C91D83">
              <w:rPr>
                <w:rFonts w:ascii="Times New Roman" w:hAnsi="Times New Roman" w:cs="Times New Roman"/>
                <w:sz w:val="24"/>
                <w:szCs w:val="24"/>
              </w:rPr>
              <w:t>„P</w:t>
            </w:r>
            <w:r w:rsidR="00957D09" w:rsidRPr="00C91D83">
              <w:rPr>
                <w:rFonts w:ascii="Times New Roman" w:hAnsi="Times New Roman" w:cs="Times New Roman"/>
                <w:sz w:val="24"/>
                <w:szCs w:val="24"/>
              </w:rPr>
              <w:t>ar uzņēmumu ienākumu nodokli</w:t>
            </w:r>
            <w:r w:rsidR="00930D7E" w:rsidRPr="00C91D83">
              <w:rPr>
                <w:rFonts w:ascii="Times New Roman" w:hAnsi="Times New Roman" w:cs="Times New Roman"/>
                <w:sz w:val="24"/>
                <w:szCs w:val="24"/>
              </w:rPr>
              <w:t>”</w:t>
            </w:r>
            <w:r w:rsidR="00957D09" w:rsidRPr="00C91D83">
              <w:rPr>
                <w:rFonts w:ascii="Times New Roman" w:hAnsi="Times New Roman" w:cs="Times New Roman"/>
                <w:sz w:val="24"/>
                <w:szCs w:val="24"/>
              </w:rPr>
              <w:t xml:space="preserve"> tika paredzētas vairākas normas ar mērķi veidot labvēlīgāku nodokļu režīmu holdinga kompānijām. Taču tagad, tikai gadu pēc šo grozījumu pieņemšanas, likumdevēja izdarītie grozījumi holdinguzņēmumu piesaisti krietni ierobežo, ņemot vērā, ka </w:t>
            </w:r>
            <w:r w:rsidR="00946093" w:rsidRPr="00C91D83">
              <w:rPr>
                <w:rFonts w:ascii="Times New Roman" w:hAnsi="Times New Roman" w:cs="Times New Roman"/>
                <w:sz w:val="24"/>
                <w:szCs w:val="24"/>
              </w:rPr>
              <w:t>zaudējumu pārnešanas ie</w:t>
            </w:r>
            <w:r w:rsidRPr="00C91D83">
              <w:rPr>
                <w:rFonts w:ascii="Times New Roman" w:hAnsi="Times New Roman" w:cs="Times New Roman"/>
                <w:sz w:val="24"/>
                <w:szCs w:val="24"/>
              </w:rPr>
              <w:t>spēja</w:t>
            </w:r>
            <w:r w:rsidR="00957D09" w:rsidRPr="00C91D83">
              <w:rPr>
                <w:rFonts w:ascii="Times New Roman" w:hAnsi="Times New Roman" w:cs="Times New Roman"/>
                <w:sz w:val="24"/>
                <w:szCs w:val="24"/>
              </w:rPr>
              <w:t>s</w:t>
            </w:r>
            <w:r w:rsidRPr="00C91D83">
              <w:rPr>
                <w:rFonts w:ascii="Times New Roman" w:hAnsi="Times New Roman" w:cs="Times New Roman"/>
                <w:sz w:val="24"/>
                <w:szCs w:val="24"/>
              </w:rPr>
              <w:t xml:space="preserve"> uzņēmumu grupas ietvaros </w:t>
            </w:r>
            <w:r w:rsidR="00946093" w:rsidRPr="00C91D83">
              <w:rPr>
                <w:rFonts w:ascii="Times New Roman" w:hAnsi="Times New Roman" w:cs="Times New Roman"/>
                <w:sz w:val="24"/>
                <w:szCs w:val="24"/>
              </w:rPr>
              <w:t>atcelšana liegs Latvijai konkurēt holdingkompān</w:t>
            </w:r>
            <w:r w:rsidR="00F43ACD" w:rsidRPr="00C91D83">
              <w:rPr>
                <w:rFonts w:ascii="Times New Roman" w:hAnsi="Times New Roman" w:cs="Times New Roman"/>
                <w:sz w:val="24"/>
                <w:szCs w:val="24"/>
              </w:rPr>
              <w:t>iju piesaistē ar citām valstīm.</w:t>
            </w:r>
          </w:p>
          <w:p w14:paraId="7F206DC3" w14:textId="77777777" w:rsidR="00A30736" w:rsidRPr="00C91D83" w:rsidRDefault="00A30736" w:rsidP="00845E8A">
            <w:pPr>
              <w:pStyle w:val="ListParagraph"/>
              <w:spacing w:before="200"/>
              <w:ind w:left="0"/>
              <w:contextualSpacing w:val="0"/>
              <w:jc w:val="both"/>
              <w:rPr>
                <w:rFonts w:ascii="Times New Roman" w:hAnsi="Times New Roman" w:cs="Times New Roman"/>
                <w:sz w:val="24"/>
                <w:szCs w:val="24"/>
              </w:rPr>
            </w:pPr>
            <w:r w:rsidRPr="00C91D83">
              <w:rPr>
                <w:rFonts w:ascii="Times New Roman" w:hAnsi="Times New Roman" w:cs="Times New Roman"/>
                <w:sz w:val="24"/>
                <w:szCs w:val="24"/>
              </w:rPr>
              <w:t>ĀIPL</w:t>
            </w:r>
            <w:r>
              <w:rPr>
                <w:rFonts w:ascii="Times New Roman" w:hAnsi="Times New Roman" w:cs="Times New Roman"/>
                <w:sz w:val="24"/>
                <w:szCs w:val="24"/>
              </w:rPr>
              <w:t xml:space="preserve"> nodokļu likumu pilnveides darba grupas ziņojumā ietverta virkne papildus komentāru un ieteikumu holdinga režīma</w:t>
            </w:r>
            <w:r w:rsidRPr="00C91D83">
              <w:rPr>
                <w:rFonts w:ascii="Times New Roman" w:hAnsi="Times New Roman" w:cs="Times New Roman"/>
                <w:sz w:val="24"/>
                <w:szCs w:val="24"/>
              </w:rPr>
              <w:t xml:space="preserve"> </w:t>
            </w:r>
            <w:r>
              <w:rPr>
                <w:rFonts w:ascii="Times New Roman" w:hAnsi="Times New Roman" w:cs="Times New Roman"/>
                <w:sz w:val="24"/>
                <w:szCs w:val="24"/>
              </w:rPr>
              <w:t>regulējuma uzlabošanai Latvijā. Tādēļ lūdzam šos priekšlikumus attiecīgi izvērtēt to kopsakarā.</w:t>
            </w:r>
          </w:p>
          <w:p w14:paraId="1A1FC9E1" w14:textId="77777777" w:rsidR="00A30736" w:rsidRPr="00C91D83" w:rsidRDefault="00A30736" w:rsidP="00845E8A">
            <w:pPr>
              <w:pStyle w:val="ListParagraph"/>
              <w:spacing w:before="200"/>
              <w:ind w:left="0"/>
              <w:contextualSpacing w:val="0"/>
              <w:jc w:val="both"/>
              <w:rPr>
                <w:rFonts w:ascii="Times New Roman" w:hAnsi="Times New Roman" w:cs="Times New Roman"/>
                <w:sz w:val="24"/>
                <w:szCs w:val="24"/>
              </w:rPr>
            </w:pPr>
            <w:r w:rsidRPr="00C91D83">
              <w:rPr>
                <w:rFonts w:ascii="Times New Roman" w:hAnsi="Times New Roman" w:cs="Times New Roman"/>
                <w:sz w:val="24"/>
                <w:szCs w:val="24"/>
              </w:rPr>
              <w:t xml:space="preserve">ĀIPL </w:t>
            </w:r>
            <w:r>
              <w:rPr>
                <w:rFonts w:ascii="Times New Roman" w:hAnsi="Times New Roman" w:cs="Times New Roman"/>
                <w:sz w:val="24"/>
                <w:szCs w:val="24"/>
              </w:rPr>
              <w:t>ieskatā šie jautājumi ir apskatāmi</w:t>
            </w:r>
            <w:r w:rsidR="00957D09" w:rsidRPr="00C91D83">
              <w:rPr>
                <w:rFonts w:ascii="Times New Roman" w:hAnsi="Times New Roman" w:cs="Times New Roman"/>
                <w:sz w:val="24"/>
                <w:szCs w:val="24"/>
              </w:rPr>
              <w:t xml:space="preserve"> arī kopsakarā ar šī ziņojuma </w:t>
            </w:r>
            <w:r w:rsidR="00580D84" w:rsidRPr="00C91D83">
              <w:rPr>
                <w:rFonts w:ascii="Times New Roman" w:hAnsi="Times New Roman" w:cs="Times New Roman"/>
                <w:sz w:val="24"/>
                <w:szCs w:val="24"/>
              </w:rPr>
              <w:fldChar w:fldCharType="begin"/>
            </w:r>
            <w:r w:rsidR="00580D84" w:rsidRPr="00C91D83">
              <w:rPr>
                <w:rFonts w:ascii="Times New Roman" w:hAnsi="Times New Roman" w:cs="Times New Roman"/>
                <w:sz w:val="24"/>
                <w:szCs w:val="24"/>
              </w:rPr>
              <w:instrText xml:space="preserve"> REF _Ref387350533 \r \h </w:instrText>
            </w:r>
            <w:r w:rsidR="00580D84" w:rsidRPr="00C91D83">
              <w:rPr>
                <w:rFonts w:ascii="Times New Roman" w:hAnsi="Times New Roman" w:cs="Times New Roman"/>
                <w:sz w:val="24"/>
                <w:szCs w:val="24"/>
              </w:rPr>
            </w:r>
            <w:r w:rsidR="00580D84" w:rsidRPr="00C91D83">
              <w:rPr>
                <w:rFonts w:ascii="Times New Roman" w:hAnsi="Times New Roman" w:cs="Times New Roman"/>
                <w:sz w:val="24"/>
                <w:szCs w:val="24"/>
              </w:rPr>
              <w:fldChar w:fldCharType="separate"/>
            </w:r>
            <w:r w:rsidR="003222AC">
              <w:rPr>
                <w:rFonts w:ascii="Times New Roman" w:hAnsi="Times New Roman" w:cs="Times New Roman"/>
                <w:sz w:val="24"/>
                <w:szCs w:val="24"/>
              </w:rPr>
              <w:t>3.1.1</w:t>
            </w:r>
            <w:r w:rsidR="00580D84" w:rsidRPr="00C91D83">
              <w:rPr>
                <w:rFonts w:ascii="Times New Roman" w:hAnsi="Times New Roman" w:cs="Times New Roman"/>
                <w:sz w:val="24"/>
                <w:szCs w:val="24"/>
              </w:rPr>
              <w:fldChar w:fldCharType="end"/>
            </w:r>
            <w:r w:rsidR="00957D09" w:rsidRPr="00C91D83">
              <w:rPr>
                <w:rFonts w:ascii="Times New Roman" w:hAnsi="Times New Roman" w:cs="Times New Roman"/>
                <w:sz w:val="24"/>
                <w:szCs w:val="24"/>
              </w:rPr>
              <w:t>.sadaļ</w:t>
            </w:r>
            <w:r w:rsidR="00F211CC" w:rsidRPr="00C91D83">
              <w:rPr>
                <w:rFonts w:ascii="Times New Roman" w:hAnsi="Times New Roman" w:cs="Times New Roman"/>
                <w:sz w:val="24"/>
                <w:szCs w:val="24"/>
              </w:rPr>
              <w:t>ā</w:t>
            </w:r>
            <w:r w:rsidR="00957D09" w:rsidRPr="00C91D83">
              <w:rPr>
                <w:rFonts w:ascii="Times New Roman" w:hAnsi="Times New Roman" w:cs="Times New Roman"/>
                <w:sz w:val="24"/>
                <w:szCs w:val="24"/>
              </w:rPr>
              <w:t xml:space="preserve"> </w:t>
            </w:r>
            <w:r>
              <w:rPr>
                <w:rFonts w:ascii="Times New Roman" w:hAnsi="Times New Roman" w:cs="Times New Roman"/>
                <w:sz w:val="24"/>
                <w:szCs w:val="24"/>
              </w:rPr>
              <w:t>norādīto</w:t>
            </w:r>
            <w:r w:rsidR="00957D09" w:rsidRPr="00C91D83">
              <w:rPr>
                <w:rFonts w:ascii="Times New Roman" w:hAnsi="Times New Roman" w:cs="Times New Roman"/>
                <w:sz w:val="24"/>
                <w:szCs w:val="24"/>
              </w:rPr>
              <w:t xml:space="preserve"> problēmu par normatīvā regulējuma stabilitāti un prognozējamību. Valsts īstenotajai nodok</w:t>
            </w:r>
            <w:r w:rsidR="002D402C" w:rsidRPr="00C91D83">
              <w:rPr>
                <w:rFonts w:ascii="Times New Roman" w:hAnsi="Times New Roman" w:cs="Times New Roman"/>
                <w:sz w:val="24"/>
                <w:szCs w:val="24"/>
              </w:rPr>
              <w:t xml:space="preserve">ļu politikas stabilitātei </w:t>
            </w:r>
            <w:r w:rsidR="00E163D0" w:rsidRPr="00C91D83">
              <w:rPr>
                <w:rFonts w:ascii="Times New Roman" w:hAnsi="Times New Roman" w:cs="Times New Roman"/>
                <w:sz w:val="24"/>
                <w:szCs w:val="24"/>
              </w:rPr>
              <w:t xml:space="preserve">ir </w:t>
            </w:r>
            <w:r w:rsidR="002D402C" w:rsidRPr="00C91D83">
              <w:rPr>
                <w:rFonts w:ascii="Times New Roman" w:hAnsi="Times New Roman" w:cs="Times New Roman"/>
                <w:sz w:val="24"/>
                <w:szCs w:val="24"/>
              </w:rPr>
              <w:t>būtiska nozīme</w:t>
            </w:r>
            <w:r w:rsidR="00957D09" w:rsidRPr="00C91D83">
              <w:rPr>
                <w:rFonts w:ascii="Times New Roman" w:hAnsi="Times New Roman" w:cs="Times New Roman"/>
                <w:sz w:val="24"/>
                <w:szCs w:val="24"/>
              </w:rPr>
              <w:t xml:space="preserve"> uz investīciju piesaisti un </w:t>
            </w:r>
            <w:r w:rsidR="002D402C" w:rsidRPr="00C91D83">
              <w:rPr>
                <w:rFonts w:ascii="Times New Roman" w:hAnsi="Times New Roman" w:cs="Times New Roman"/>
                <w:sz w:val="24"/>
                <w:szCs w:val="24"/>
              </w:rPr>
              <w:t>komercdarbības attīstību</w:t>
            </w:r>
            <w:r w:rsidR="00957D09" w:rsidRPr="00C91D83">
              <w:rPr>
                <w:rFonts w:ascii="Times New Roman" w:hAnsi="Times New Roman" w:cs="Times New Roman"/>
                <w:sz w:val="24"/>
                <w:szCs w:val="24"/>
              </w:rPr>
              <w:t>.</w:t>
            </w:r>
            <w:r w:rsidR="002D402C" w:rsidRPr="00C91D83">
              <w:rPr>
                <w:rFonts w:ascii="Times New Roman" w:hAnsi="Times New Roman" w:cs="Times New Roman"/>
                <w:sz w:val="24"/>
                <w:szCs w:val="24"/>
              </w:rPr>
              <w:t xml:space="preserve"> Ņemot vērā minēto, ĀIPL vēlas uzsvērt konsekventas nodokļu politikas īstenošanas nozīmi un vienlaikus aicināt atkārtoti apsvērt zaudējumu pārnešanas uzņ</w:t>
            </w:r>
            <w:r w:rsidR="004C1217" w:rsidRPr="00C91D83">
              <w:rPr>
                <w:rFonts w:ascii="Times New Roman" w:hAnsi="Times New Roman" w:cs="Times New Roman"/>
                <w:sz w:val="24"/>
                <w:szCs w:val="24"/>
              </w:rPr>
              <w:t>ēmumu grupā ieviešanas iespēju.</w:t>
            </w:r>
          </w:p>
          <w:p w14:paraId="50906FEA" w14:textId="77777777" w:rsidR="007C160A" w:rsidRPr="00C91D83" w:rsidRDefault="007C160A" w:rsidP="00845E8A">
            <w:pPr>
              <w:pStyle w:val="ListParagraph"/>
              <w:numPr>
                <w:ilvl w:val="2"/>
                <w:numId w:val="7"/>
              </w:numPr>
              <w:spacing w:before="200"/>
              <w:ind w:left="0" w:firstLine="0"/>
              <w:contextualSpacing w:val="0"/>
              <w:jc w:val="both"/>
              <w:rPr>
                <w:rFonts w:ascii="Times New Roman" w:hAnsi="Times New Roman" w:cs="Times New Roman"/>
                <w:b/>
                <w:sz w:val="24"/>
                <w:szCs w:val="24"/>
              </w:rPr>
            </w:pPr>
            <w:r w:rsidRPr="00C91D83">
              <w:rPr>
                <w:rFonts w:ascii="Times New Roman" w:hAnsi="Times New Roman" w:cs="Times New Roman"/>
                <w:b/>
                <w:sz w:val="24"/>
                <w:szCs w:val="24"/>
              </w:rPr>
              <w:t>Elektroniskā paraks</w:t>
            </w:r>
            <w:r w:rsidR="00F00362" w:rsidRPr="00C91D83">
              <w:rPr>
                <w:rFonts w:ascii="Times New Roman" w:hAnsi="Times New Roman" w:cs="Times New Roman"/>
                <w:b/>
                <w:sz w:val="24"/>
                <w:szCs w:val="24"/>
              </w:rPr>
              <w:t>ta izmantošana pārrobežu līmenī</w:t>
            </w:r>
          </w:p>
          <w:p w14:paraId="5022402B" w14:textId="77777777" w:rsidR="00CC2A6F" w:rsidRPr="00C91D83" w:rsidRDefault="00CC2A6F" w:rsidP="00845E8A">
            <w:pPr>
              <w:pStyle w:val="NormalWeb"/>
              <w:tabs>
                <w:tab w:val="left" w:pos="284"/>
                <w:tab w:val="left" w:pos="851"/>
              </w:tabs>
              <w:spacing w:before="200" w:beforeAutospacing="0" w:after="200" w:afterAutospacing="0" w:line="276" w:lineRule="auto"/>
              <w:jc w:val="both"/>
            </w:pPr>
            <w:r w:rsidRPr="00C91D83">
              <w:t>Eiropas Parlamenta un Padomes 1999.gada 13.decembra Direktīva 1999/93/EK par Kopienas elektronisko parakstu sistēmu</w:t>
            </w:r>
            <w:bookmarkStart w:id="3" w:name="_ftnref1"/>
            <w:r w:rsidRPr="00C91D83">
              <w:rPr>
                <w:rStyle w:val="FootnoteReference"/>
              </w:rPr>
              <w:footnoteReference w:id="11"/>
            </w:r>
            <w:bookmarkEnd w:id="3"/>
            <w:r w:rsidRPr="00C91D83">
              <w:t xml:space="preserve"> (t</w:t>
            </w:r>
            <w:r w:rsidR="00A06F26" w:rsidRPr="00C91D83">
              <w:t xml:space="preserve">urpmāk </w:t>
            </w:r>
            <w:r w:rsidR="006F40C4" w:rsidRPr="00C91D83">
              <w:t>—</w:t>
            </w:r>
            <w:r w:rsidR="00A06F26" w:rsidRPr="00C91D83">
              <w:t xml:space="preserve"> „e-paraksta direktīva”)</w:t>
            </w:r>
            <w:r w:rsidRPr="00C91D83">
              <w:t xml:space="preserve"> iedibina elektronisko parakstu un nosaka sertifikācijas pakalpojumu juridisko bāzi. E-paraksta direktīvā ir noteikts, ka Eiropas Savienības dalībvalstis nedrīkst ierobežot citu dalībvalstu sertifikācijas pakalpojumu sniegšanu (elektroniskā paraksta izmantošanu), ja tā atbilst direktīvā noteiktajiem nosacījumiem</w:t>
            </w:r>
            <w:r w:rsidR="009C3D35" w:rsidRPr="00C91D83">
              <w:t>.</w:t>
            </w:r>
            <w:r w:rsidRPr="00C91D83">
              <w:rPr>
                <w:rStyle w:val="FootnoteReference"/>
              </w:rPr>
              <w:footnoteReference w:id="12"/>
            </w:r>
          </w:p>
          <w:p w14:paraId="4D049B7F" w14:textId="77777777" w:rsidR="00CC2A6F" w:rsidRPr="00C91D83" w:rsidRDefault="00B27CA5" w:rsidP="00845E8A">
            <w:pPr>
              <w:pStyle w:val="NormalWeb"/>
              <w:tabs>
                <w:tab w:val="left" w:pos="284"/>
                <w:tab w:val="left" w:pos="851"/>
              </w:tabs>
              <w:spacing w:before="200" w:beforeAutospacing="0" w:after="200" w:afterAutospacing="0" w:line="276" w:lineRule="auto"/>
              <w:jc w:val="both"/>
              <w:rPr>
                <w:shd w:val="clear" w:color="auto" w:fill="F1F1F1"/>
              </w:rPr>
            </w:pPr>
            <w:r w:rsidRPr="00C91D83">
              <w:t>Taču prak</w:t>
            </w:r>
            <w:r w:rsidR="000C5B7B" w:rsidRPr="00C91D83">
              <w:t xml:space="preserve">sē bieži rodas problēmas tieši </w:t>
            </w:r>
            <w:r w:rsidRPr="00C91D83">
              <w:t>ar pārrobežu komercdarījumu slēgšanu, ja komersanti vēlas izmantot elektroniskā paraksta piedāvātas iespējas.</w:t>
            </w:r>
          </w:p>
          <w:p w14:paraId="44CE23DD" w14:textId="77777777" w:rsidR="00CC2A6F" w:rsidRPr="00C91D83" w:rsidRDefault="00CC2A6F" w:rsidP="00480ED5">
            <w:pPr>
              <w:pStyle w:val="NormalWeb"/>
              <w:tabs>
                <w:tab w:val="left" w:pos="284"/>
                <w:tab w:val="left" w:pos="851"/>
              </w:tabs>
              <w:spacing w:before="200" w:beforeAutospacing="0" w:after="200" w:afterAutospacing="0" w:line="276" w:lineRule="auto"/>
              <w:jc w:val="both"/>
            </w:pPr>
            <w:r w:rsidRPr="00C91D83">
              <w:t>Atbilstoši</w:t>
            </w:r>
            <w:r w:rsidR="00330085" w:rsidRPr="00C91D83">
              <w:t xml:space="preserve"> informatīvajam ziņojumam „</w:t>
            </w:r>
            <w:r w:rsidRPr="00C91D83">
              <w:t>Par elektroniskā paraksta un elektroniskās identifikācijas pārrobežu savstarpējo izmantojamību</w:t>
            </w:r>
            <w:r w:rsidR="00330085" w:rsidRPr="00C91D83">
              <w:t>”</w:t>
            </w:r>
            <w:r w:rsidRPr="00C91D83">
              <w:t xml:space="preserve">, kas tika izskatīts </w:t>
            </w:r>
            <w:r w:rsidR="00A86FF2" w:rsidRPr="00C91D83">
              <w:t>2013.gada 22.oktobra Ministru kabineta sēdē</w:t>
            </w:r>
            <w:r w:rsidR="00236D6A" w:rsidRPr="00C91D83">
              <w:t>,</w:t>
            </w:r>
            <w:r w:rsidR="00FB18D9" w:rsidRPr="00C91D83">
              <w:rPr>
                <w:rStyle w:val="FootnoteReference"/>
              </w:rPr>
              <w:footnoteReference w:id="13"/>
            </w:r>
            <w:r w:rsidR="00A86FF2" w:rsidRPr="00C91D83">
              <w:t xml:space="preserve"> </w:t>
            </w:r>
            <w:r w:rsidRPr="00C91D83">
              <w:t>komercsektorā tiek</w:t>
            </w:r>
            <w:r w:rsidR="00B27CA5" w:rsidRPr="00C91D83">
              <w:t>ot</w:t>
            </w:r>
            <w:r w:rsidRPr="00C91D83">
              <w:t xml:space="preserve"> izstrādāti risinājumi, ar kur</w:t>
            </w:r>
            <w:r w:rsidR="00EE31FA" w:rsidRPr="00C91D83">
              <w:t>u</w:t>
            </w:r>
            <w:r w:rsidRPr="00C91D83">
              <w:t xml:space="preserve"> palīdzību ir iespējams parakstīt vienu dokumentu vairākām personām, kur katra izmanto savā valstī izsniegtu drošu elektronisko parakstu. Viens no šādiem risinājumiem tuvākajā laikā, šī gada ietvaros, plāno savā produktā atbalstīt arī Latvijas elektroniskās identifikācijas kartē iekļauto elektronisko parakstu. Tas nozīmē, ka, piemēram, vienu līguma dokumentu var</w:t>
            </w:r>
            <w:r w:rsidR="00B27CA5" w:rsidRPr="00C91D83">
              <w:t>ētu</w:t>
            </w:r>
            <w:r w:rsidRPr="00C91D83">
              <w:t xml:space="preserve"> parakstīt igaunis no vienas puses ar Igaunijā izsniegtu elektronisko parakstu un latvietis no otras puses </w:t>
            </w:r>
            <w:r w:rsidR="006F40C4" w:rsidRPr="00C91D83">
              <w:t>—</w:t>
            </w:r>
            <w:r w:rsidRPr="00C91D83">
              <w:t xml:space="preserve"> ar Latvijā izsniegtu elektronisko parakstu. Šādam risinājumam pastāvot, pārrobežu sadarbība </w:t>
            </w:r>
            <w:r w:rsidR="006F40C4" w:rsidRPr="00C91D83">
              <w:t>—</w:t>
            </w:r>
            <w:r w:rsidRPr="00C91D83">
              <w:t xml:space="preserve"> līgumu, vienošanās slēgšana kā uzņēmēju, tā amatpersonu starpā </w:t>
            </w:r>
            <w:r w:rsidR="006F40C4" w:rsidRPr="00C91D83">
              <w:t>—</w:t>
            </w:r>
            <w:r w:rsidR="00236D6A" w:rsidRPr="00C91D83">
              <w:t xml:space="preserve"> </w:t>
            </w:r>
            <w:r w:rsidRPr="00C91D83">
              <w:t>būtu pastiprināti sekmējama un veicināma.</w:t>
            </w:r>
          </w:p>
          <w:p w14:paraId="3342AF20" w14:textId="77777777" w:rsidR="00FB18D9" w:rsidRPr="00C91D83" w:rsidRDefault="00A86FF2" w:rsidP="00845E8A">
            <w:pPr>
              <w:pStyle w:val="NormalWeb"/>
              <w:spacing w:before="200" w:beforeAutospacing="0" w:after="200" w:afterAutospacing="0" w:line="276" w:lineRule="auto"/>
              <w:jc w:val="both"/>
            </w:pPr>
            <w:r w:rsidRPr="00C91D83">
              <w:t xml:space="preserve">Vienlaikus informatīvajā ziņojumā arī norādīts, ka šobrīd </w:t>
            </w:r>
            <w:r w:rsidR="00B27CA5" w:rsidRPr="00C91D83">
              <w:t>Eiropas Savienībā</w:t>
            </w:r>
            <w:r w:rsidRPr="00C91D83">
              <w:t xml:space="preserve"> nav ieviests </w:t>
            </w:r>
            <w:r w:rsidRPr="00C91D83">
              <w:lastRenderedPageBreak/>
              <w:t>visaptverošs pārrobežu un starpnozaru regulējums drošiem, uzticamiem un viegli lietojamiem elektronisko darījumu mehānismiem, kas ietver elektronisko identifikāciju un autentifikāciju</w:t>
            </w:r>
            <w:r w:rsidR="007E0913" w:rsidRPr="00C91D83">
              <w:t>,</w:t>
            </w:r>
            <w:r w:rsidR="00B27CA5" w:rsidRPr="00C91D83">
              <w:t xml:space="preserve"> un</w:t>
            </w:r>
            <w:r w:rsidR="00FB18D9" w:rsidRPr="00C91D83">
              <w:t xml:space="preserve"> Latvija šobrīd nav iesaistījusies pārrobežu sadarbības projektos</w:t>
            </w:r>
            <w:r w:rsidR="00B27CA5" w:rsidRPr="00C91D83">
              <w:t>, kas to nodrošina</w:t>
            </w:r>
            <w:r w:rsidR="00FB18D9" w:rsidRPr="00C91D83">
              <w:t xml:space="preserve">. Lai Latvija </w:t>
            </w:r>
            <w:r w:rsidR="00B27CA5" w:rsidRPr="00C91D83">
              <w:t xml:space="preserve">elektronisko identifikāciju </w:t>
            </w:r>
            <w:r w:rsidR="00FB18D9" w:rsidRPr="00C91D83">
              <w:t xml:space="preserve">sekmīgi varētu izmantot citās </w:t>
            </w:r>
            <w:r w:rsidR="00B27CA5" w:rsidRPr="00C91D83">
              <w:t xml:space="preserve">Eiropas Savienības </w:t>
            </w:r>
            <w:r w:rsidR="00FB18D9" w:rsidRPr="00C91D83">
              <w:t xml:space="preserve">dalībvalstīs, kā arī Latvija dažādu pakalpojumu sniegšanā varētu izmantot citu </w:t>
            </w:r>
            <w:r w:rsidR="00B27CA5" w:rsidRPr="00C91D83">
              <w:t xml:space="preserve">Eiropas Savienības </w:t>
            </w:r>
            <w:r w:rsidR="00FB18D9" w:rsidRPr="00C91D83">
              <w:t xml:space="preserve">dalībvalstu </w:t>
            </w:r>
            <w:r w:rsidR="00B27CA5" w:rsidRPr="00C91D83">
              <w:t>elektronisko identifikāciju</w:t>
            </w:r>
            <w:r w:rsidR="00FB18D9" w:rsidRPr="00C91D83">
              <w:t>, Latvijai būtu nepieciešams iesaistīties e-SENS projektā, kurš ir nupat uzsācies un kuram ir par</w:t>
            </w:r>
            <w:r w:rsidR="00A86224" w:rsidRPr="00C91D83">
              <w:t>edzēta II paplašināšanās kārta.</w:t>
            </w:r>
          </w:p>
          <w:p w14:paraId="2045304D" w14:textId="77777777" w:rsidR="009B1097" w:rsidRPr="00C91D83" w:rsidRDefault="00B27CA5" w:rsidP="00845E8A">
            <w:pPr>
              <w:pStyle w:val="NormalWeb"/>
              <w:spacing w:before="200" w:beforeAutospacing="0" w:after="200" w:afterAutospacing="0" w:line="276" w:lineRule="auto"/>
              <w:jc w:val="both"/>
            </w:pPr>
            <w:r w:rsidRPr="00C91D83">
              <w:t>ĀIPL vēlas paust savu atbalstu šādām iniciatīvām un aicināt aktīvāk iesaist</w:t>
            </w:r>
            <w:r w:rsidR="00AB425E" w:rsidRPr="00C91D83">
              <w:t>īties šādu jautājumu risināšanā</w:t>
            </w:r>
            <w:r w:rsidRPr="00C91D83">
              <w:t xml:space="preserve">, norādot, ka tas būtiski atvieglotu </w:t>
            </w:r>
            <w:r w:rsidR="009B1097" w:rsidRPr="00C91D83">
              <w:t>komersantu pārrobežu sadarbību.</w:t>
            </w:r>
          </w:p>
          <w:p w14:paraId="195AAD00" w14:textId="77777777" w:rsidR="007C160A" w:rsidRPr="00C91D83" w:rsidRDefault="007C160A" w:rsidP="00260F10">
            <w:pPr>
              <w:pStyle w:val="ListParagraph"/>
              <w:numPr>
                <w:ilvl w:val="2"/>
                <w:numId w:val="7"/>
              </w:numPr>
              <w:spacing w:before="200"/>
              <w:ind w:left="601" w:hanging="601"/>
              <w:contextualSpacing w:val="0"/>
              <w:rPr>
                <w:rFonts w:ascii="Times New Roman" w:hAnsi="Times New Roman" w:cs="Times New Roman"/>
                <w:b/>
                <w:color w:val="000000"/>
                <w:sz w:val="24"/>
                <w:szCs w:val="24"/>
              </w:rPr>
            </w:pPr>
            <w:r w:rsidRPr="00C91D83">
              <w:rPr>
                <w:rFonts w:ascii="Times New Roman" w:hAnsi="Times New Roman" w:cs="Times New Roman"/>
                <w:b/>
                <w:sz w:val="24"/>
                <w:szCs w:val="24"/>
              </w:rPr>
              <w:t>Sabiedrību korporatīvās pā</w:t>
            </w:r>
            <w:r w:rsidR="00B27CA5" w:rsidRPr="00C91D83">
              <w:rPr>
                <w:rFonts w:ascii="Times New Roman" w:hAnsi="Times New Roman" w:cs="Times New Roman"/>
                <w:b/>
                <w:sz w:val="24"/>
                <w:szCs w:val="24"/>
              </w:rPr>
              <w:t>rvaldības regulējuma pilnveide un a</w:t>
            </w:r>
            <w:r w:rsidRPr="00C91D83">
              <w:rPr>
                <w:rFonts w:ascii="Times New Roman" w:hAnsi="Times New Roman" w:cs="Times New Roman"/>
                <w:b/>
                <w:sz w:val="24"/>
                <w:szCs w:val="24"/>
              </w:rPr>
              <w:t>kcionāru</w:t>
            </w:r>
            <w:r w:rsidR="00260F10" w:rsidRPr="00C91D83">
              <w:rPr>
                <w:rFonts w:ascii="Times New Roman" w:hAnsi="Times New Roman" w:cs="Times New Roman"/>
                <w:b/>
                <w:sz w:val="24"/>
                <w:szCs w:val="24"/>
              </w:rPr>
              <w:t xml:space="preserve"> tiesību aizsardzības mehānismi</w:t>
            </w:r>
            <w:r w:rsidR="003F5D85" w:rsidRPr="00C91D83">
              <w:rPr>
                <w:rStyle w:val="FootnoteReference"/>
                <w:rFonts w:ascii="Times New Roman" w:hAnsi="Times New Roman" w:cs="Times New Roman"/>
                <w:b/>
                <w:sz w:val="24"/>
                <w:szCs w:val="24"/>
              </w:rPr>
              <w:footnoteReference w:id="14"/>
            </w:r>
          </w:p>
          <w:p w14:paraId="46ABA73A" w14:textId="77777777" w:rsidR="00B27CA5" w:rsidRPr="00C91D83" w:rsidRDefault="007241A9" w:rsidP="00830BEE">
            <w:pPr>
              <w:numPr>
                <w:ilvl w:val="3"/>
                <w:numId w:val="7"/>
              </w:numPr>
              <w:spacing w:before="200" w:after="200" w:line="276" w:lineRule="auto"/>
              <w:ind w:left="851" w:hanging="851"/>
              <w:rPr>
                <w:b/>
                <w:color w:val="000000"/>
                <w:sz w:val="24"/>
                <w:szCs w:val="24"/>
                <w:lang w:val="lv-LV"/>
              </w:rPr>
            </w:pPr>
            <w:bookmarkStart w:id="4" w:name="_Ref387305738"/>
            <w:r w:rsidRPr="00C91D83">
              <w:rPr>
                <w:b/>
                <w:color w:val="000000"/>
                <w:sz w:val="24"/>
                <w:szCs w:val="24"/>
                <w:lang w:val="lv-LV"/>
              </w:rPr>
              <w:t>Komerclikuma noteikumiem par kapitālsabiedrībām piešķirams imperatīvu normu spēks</w:t>
            </w:r>
            <w:bookmarkEnd w:id="4"/>
          </w:p>
          <w:p w14:paraId="423B27D3" w14:textId="77777777" w:rsidR="007241A9" w:rsidRPr="00C91D83" w:rsidRDefault="007241A9" w:rsidP="00845E8A">
            <w:pPr>
              <w:spacing w:before="200" w:after="200" w:line="276" w:lineRule="auto"/>
              <w:jc w:val="both"/>
              <w:rPr>
                <w:color w:val="000000"/>
                <w:sz w:val="24"/>
                <w:szCs w:val="24"/>
                <w:lang w:val="lv-LV"/>
              </w:rPr>
            </w:pPr>
            <w:r w:rsidRPr="00C91D83">
              <w:rPr>
                <w:color w:val="000000"/>
                <w:sz w:val="24"/>
                <w:szCs w:val="24"/>
                <w:lang w:val="lv-LV"/>
              </w:rPr>
              <w:t>Saskaņā ar Latvijas Senāta, pirmās Latvijas Republikas Augstākās tiesas, kas pastāvēja no 1918.gada līdz 1940.gadam, Civilā kasācijas departamenta (CKD) nodibinātu judikatūru (Sen. CKD spr. 1925./75.; 1931./717.; 19</w:t>
            </w:r>
            <w:r w:rsidR="00260F10" w:rsidRPr="00C91D83">
              <w:rPr>
                <w:color w:val="000000"/>
                <w:sz w:val="24"/>
                <w:szCs w:val="24"/>
                <w:lang w:val="lv-LV"/>
              </w:rPr>
              <w:t>35./122.; 1937./502.; 1938./432</w:t>
            </w:r>
            <w:r w:rsidRPr="00C91D83">
              <w:rPr>
                <w:color w:val="000000"/>
                <w:sz w:val="24"/>
                <w:szCs w:val="24"/>
                <w:lang w:val="lv-LV"/>
              </w:rPr>
              <w:t>) „</w:t>
            </w:r>
            <w:r w:rsidRPr="00C91D83">
              <w:rPr>
                <w:i/>
                <w:color w:val="000000"/>
                <w:sz w:val="24"/>
                <w:szCs w:val="24"/>
                <w:u w:val="single"/>
                <w:lang w:val="lv-LV"/>
              </w:rPr>
              <w:t>vispārīgi visiem noteikumiem par paju sabiedrībām</w:t>
            </w:r>
            <w:r w:rsidRPr="00C91D83">
              <w:rPr>
                <w:rStyle w:val="FootnoteReference"/>
                <w:rFonts w:eastAsia="Batang"/>
                <w:bCs/>
                <w:color w:val="000000"/>
                <w:sz w:val="24"/>
                <w:szCs w:val="24"/>
                <w:u w:val="single"/>
                <w:lang w:val="lv-LV"/>
              </w:rPr>
              <w:footnoteReference w:id="15"/>
            </w:r>
            <w:r w:rsidRPr="00C91D83">
              <w:rPr>
                <w:i/>
                <w:color w:val="000000"/>
                <w:sz w:val="24"/>
                <w:szCs w:val="24"/>
                <w:u w:val="single"/>
                <w:lang w:val="lv-LV"/>
              </w:rPr>
              <w:t xml:space="preserve"> un akciju sabiedrībām (pretēji noteikumiem par personālām sabiedrībām) ir stingri saistošu normu (jus cogens) raksturs, kurš nepielaiž to grozīšanu ar akcionāru vienošanos, bet nekad ne dispozitīvu normu raksturs, jo šie noteikumi aizskar ne tikai akcionāru intereses, bet arī trešo personu intereses un šādiem noteikumiem piemīt publisko tiesību elements, tādēļ tie ar akcionāru vienošanos nav grozāmi. Saistošas normas pēc vispārējā principa tulkojamas visšaurākajā nozīmē</w:t>
            </w:r>
            <w:r w:rsidRPr="00C91D83">
              <w:rPr>
                <w:i/>
                <w:color w:val="000000"/>
                <w:sz w:val="24"/>
                <w:szCs w:val="24"/>
                <w:lang w:val="lv-LV"/>
              </w:rPr>
              <w:t>.</w:t>
            </w:r>
            <w:r w:rsidRPr="00C91D83">
              <w:rPr>
                <w:color w:val="000000"/>
                <w:sz w:val="24"/>
                <w:szCs w:val="24"/>
                <w:lang w:val="lv-LV"/>
              </w:rPr>
              <w:t>”</w:t>
            </w:r>
            <w:r w:rsidRPr="00C91D83">
              <w:rPr>
                <w:rStyle w:val="FootnoteReference"/>
                <w:rFonts w:eastAsia="Batang"/>
                <w:bCs/>
                <w:color w:val="000000"/>
                <w:sz w:val="24"/>
                <w:szCs w:val="24"/>
                <w:lang w:val="lv-LV"/>
              </w:rPr>
              <w:footnoteReference w:id="16"/>
            </w:r>
            <w:r w:rsidRPr="00C91D83">
              <w:rPr>
                <w:color w:val="000000"/>
                <w:sz w:val="24"/>
                <w:szCs w:val="24"/>
                <w:lang w:val="lv-LV"/>
              </w:rPr>
              <w:t xml:space="preserve"> Ievērojot minēto tēzi, Latvijas Senāts atzina visus pajinieku un akcionāru sapulču lēmumus, kā arī valdes lēmumus, kas bija pretrunā ar minētajiem noteikumiem, par spēkā neesošiem gandrīz automātiski. Tas nodrošināja augstu Latvijas akciju sabiedrību korporatīvās p</w:t>
            </w:r>
            <w:r w:rsidR="00260F10" w:rsidRPr="00C91D83">
              <w:rPr>
                <w:color w:val="000000"/>
                <w:sz w:val="24"/>
                <w:szCs w:val="24"/>
                <w:lang w:val="lv-LV"/>
              </w:rPr>
              <w:t>ārvaldības integritātes līmeni.</w:t>
            </w:r>
          </w:p>
          <w:p w14:paraId="727395A0" w14:textId="77777777" w:rsidR="007063A2" w:rsidRPr="00C91D83" w:rsidRDefault="00260F10" w:rsidP="00845E8A">
            <w:pPr>
              <w:spacing w:before="200" w:after="200" w:line="276" w:lineRule="auto"/>
              <w:jc w:val="both"/>
              <w:rPr>
                <w:color w:val="000000"/>
                <w:sz w:val="24"/>
                <w:szCs w:val="24"/>
                <w:lang w:val="lv-LV"/>
              </w:rPr>
            </w:pPr>
            <w:r w:rsidRPr="00C91D83">
              <w:rPr>
                <w:color w:val="000000"/>
                <w:sz w:val="24"/>
                <w:szCs w:val="24"/>
                <w:lang w:val="lv-LV"/>
              </w:rPr>
              <w:t>Turpretim</w:t>
            </w:r>
            <w:r w:rsidR="007241A9" w:rsidRPr="00C91D83">
              <w:rPr>
                <w:color w:val="000000"/>
                <w:sz w:val="24"/>
                <w:szCs w:val="24"/>
                <w:lang w:val="lv-LV"/>
              </w:rPr>
              <w:t xml:space="preserve"> 2010.gadā, tulkojot Komerclikuma 286.panta noteikumus par akcionāru sapulču lēmumu atzīšanu par spēkā neesošiem, Latvijas Republikas Augstākās tiesas Senāts nonācis pie pilnīgi pretēja secinājuma, proti, ka Komerclikuma 286.panta pirmā daļa atbilst dispozitīvas tiesību normas pazīmēm, tāpēc normā paredzētās tiesiskās sekas tiesa var piemērot vai </w:t>
            </w:r>
            <w:r w:rsidR="007241A9" w:rsidRPr="00C91D83">
              <w:rPr>
                <w:color w:val="000000"/>
                <w:sz w:val="24"/>
                <w:szCs w:val="24"/>
                <w:lang w:val="lv-LV"/>
              </w:rPr>
              <w:lastRenderedPageBreak/>
              <w:t>nepiemērot, taču tiesai ir jāmotivē, kādēļ minētā tiesību norma ir vai nav attiecināma uz tās konstatētajiem lietas faktiskajiem apstākļiem (Senāta CD SKC-37/2010).</w:t>
            </w:r>
            <w:r w:rsidR="007241A9" w:rsidRPr="00C91D83">
              <w:rPr>
                <w:rStyle w:val="FootnoteReference"/>
                <w:rFonts w:eastAsia="Batang"/>
                <w:bCs/>
                <w:color w:val="000000"/>
                <w:sz w:val="24"/>
                <w:szCs w:val="24"/>
                <w:lang w:val="lv-LV"/>
              </w:rPr>
              <w:footnoteReference w:id="17"/>
            </w:r>
          </w:p>
          <w:p w14:paraId="5740225F" w14:textId="77777777" w:rsidR="007063A2" w:rsidRPr="00C91D83" w:rsidRDefault="007241A9" w:rsidP="00845E8A">
            <w:pPr>
              <w:spacing w:before="200" w:after="200" w:line="276" w:lineRule="auto"/>
              <w:jc w:val="both"/>
              <w:rPr>
                <w:color w:val="000000"/>
                <w:sz w:val="24"/>
                <w:szCs w:val="24"/>
                <w:lang w:val="lv-LV"/>
              </w:rPr>
            </w:pPr>
            <w:r w:rsidRPr="00C91D83">
              <w:rPr>
                <w:color w:val="000000"/>
                <w:sz w:val="24"/>
                <w:szCs w:val="24"/>
                <w:lang w:val="lv-LV"/>
              </w:rPr>
              <w:t xml:space="preserve">Šāds Komerclikuma 286.panta iztulkojums (kas </w:t>
            </w:r>
            <w:r w:rsidRPr="00C91D83">
              <w:rPr>
                <w:i/>
                <w:color w:val="000000"/>
                <w:sz w:val="24"/>
                <w:szCs w:val="24"/>
                <w:lang w:val="lv-LV"/>
              </w:rPr>
              <w:t xml:space="preserve">mutatis mutandis </w:t>
            </w:r>
            <w:r w:rsidRPr="00C91D83">
              <w:rPr>
                <w:color w:val="000000"/>
                <w:sz w:val="24"/>
                <w:szCs w:val="24"/>
                <w:lang w:val="lv-LV"/>
              </w:rPr>
              <w:t>piemērojams arī saistībā ar Komerclikuma 217.pantu, kas attiecas uz sabiedrībām ar ierobežotu atbildību) praksē var novest pie mazākuma akcionāru tiesību pilnības ignorēšanas, piemēram, mazākuma akcionāru neaicināšu uz akcionāru sapulcēm, informācijas nesniegšan</w:t>
            </w:r>
            <w:r w:rsidR="00EF42C6" w:rsidRPr="00C91D83">
              <w:rPr>
                <w:color w:val="000000"/>
                <w:sz w:val="24"/>
                <w:szCs w:val="24"/>
                <w:lang w:val="lv-LV"/>
              </w:rPr>
              <w:t>u</w:t>
            </w:r>
            <w:r w:rsidRPr="00C91D83">
              <w:rPr>
                <w:color w:val="000000"/>
                <w:sz w:val="24"/>
                <w:szCs w:val="24"/>
                <w:lang w:val="lv-LV"/>
              </w:rPr>
              <w:t xml:space="preserve"> utt., kas savukārt nozīmē, ka mazākuma ieguldījums Latvijas akciju sabiedrībās ir nedrošs un nepievilcīgs, izņemot</w:t>
            </w:r>
            <w:r w:rsidR="00D86259" w:rsidRPr="00C91D83">
              <w:rPr>
                <w:color w:val="000000"/>
                <w:sz w:val="24"/>
                <w:szCs w:val="24"/>
                <w:lang w:val="lv-LV"/>
              </w:rPr>
              <w:t>,</w:t>
            </w:r>
            <w:r w:rsidRPr="00C91D83">
              <w:rPr>
                <w:color w:val="000000"/>
                <w:sz w:val="24"/>
                <w:szCs w:val="24"/>
                <w:lang w:val="lv-LV"/>
              </w:rPr>
              <w:t xml:space="preserve"> ja tiek noslēgts akcionāru līgumus, kas piešķir papildu aizsardzību mazākuma akcionāram (tomēr arī šāda līguma spēks un sekas Latvijas tiesu</w:t>
            </w:r>
            <w:r w:rsidR="00D86259" w:rsidRPr="00C91D83">
              <w:rPr>
                <w:color w:val="000000"/>
                <w:sz w:val="24"/>
                <w:szCs w:val="24"/>
                <w:lang w:val="lv-LV"/>
              </w:rPr>
              <w:t xml:space="preserve"> praksē nav nopietni vērtētas).</w:t>
            </w:r>
          </w:p>
          <w:p w14:paraId="52736B1B" w14:textId="77777777" w:rsidR="007241A9" w:rsidRPr="00C91D83" w:rsidRDefault="007241A9" w:rsidP="00845E8A">
            <w:pPr>
              <w:spacing w:before="200" w:after="200" w:line="276" w:lineRule="auto"/>
              <w:jc w:val="both"/>
              <w:rPr>
                <w:color w:val="000000"/>
                <w:sz w:val="24"/>
                <w:szCs w:val="24"/>
                <w:lang w:val="lv-LV"/>
              </w:rPr>
            </w:pPr>
            <w:r w:rsidRPr="00C91D83">
              <w:rPr>
                <w:color w:val="000000"/>
                <w:sz w:val="24"/>
                <w:szCs w:val="24"/>
                <w:lang w:val="lv-LV"/>
              </w:rPr>
              <w:t>Tam sekas ir šādu mazākuma ieguldījumu skaita un apmēra samazinājums, kas nozīmē, ka Latvijas akciju sabiedrībām ir grūtāk un dārgāk piesaistīt kapitālu mazākuma investīciju izskatā, kas bremzē visas ekonomikas attīstību.</w:t>
            </w:r>
          </w:p>
          <w:p w14:paraId="30E0C76C" w14:textId="77777777" w:rsidR="007241A9" w:rsidRPr="00C91D83" w:rsidRDefault="007063A2" w:rsidP="00845E8A">
            <w:pPr>
              <w:spacing w:before="200" w:after="200" w:line="276" w:lineRule="auto"/>
              <w:jc w:val="both"/>
              <w:rPr>
                <w:color w:val="000000"/>
                <w:sz w:val="24"/>
                <w:szCs w:val="24"/>
                <w:lang w:val="lv-LV"/>
              </w:rPr>
            </w:pPr>
            <w:r w:rsidRPr="00C91D83">
              <w:rPr>
                <w:color w:val="000000"/>
                <w:sz w:val="24"/>
                <w:szCs w:val="24"/>
                <w:lang w:val="lv-LV"/>
              </w:rPr>
              <w:t>Tādēļ ĀIPL ieskatā būtu n</w:t>
            </w:r>
            <w:r w:rsidR="007241A9" w:rsidRPr="00C91D83">
              <w:rPr>
                <w:color w:val="000000"/>
                <w:sz w:val="24"/>
                <w:szCs w:val="24"/>
                <w:lang w:val="lv-LV"/>
              </w:rPr>
              <w:t xml:space="preserve">epieciešams izstrādāt attiecīgus papildinājumus Komerclikumam, kas noteiktu, ka noteikumi par akciju sabiedrībām (un, iespējams, arī sabiedrībām ar ierobežotu atbildību) ir imperatīvas normas, kuru </w:t>
            </w:r>
            <w:r w:rsidR="00FD7751" w:rsidRPr="00C91D83">
              <w:rPr>
                <w:color w:val="000000"/>
                <w:sz w:val="24"/>
                <w:szCs w:val="24"/>
                <w:lang w:val="lv-LV"/>
              </w:rPr>
              <w:t xml:space="preserve">būtisku </w:t>
            </w:r>
            <w:r w:rsidR="007241A9" w:rsidRPr="00C91D83">
              <w:rPr>
                <w:color w:val="000000"/>
                <w:sz w:val="24"/>
                <w:szCs w:val="24"/>
                <w:lang w:val="lv-LV"/>
              </w:rPr>
              <w:t>pārkāpumu gadījumā attiecīgie sabiedrības pārvaldes institūciju lēmumi un citas darbības automātiski atzīstamas par spēkā neesošām.</w:t>
            </w:r>
          </w:p>
          <w:p w14:paraId="3A4F4131" w14:textId="77777777" w:rsidR="007063A2" w:rsidRPr="00C91D83" w:rsidRDefault="007241A9" w:rsidP="00D86259">
            <w:pPr>
              <w:keepNext/>
              <w:keepLines/>
              <w:numPr>
                <w:ilvl w:val="3"/>
                <w:numId w:val="7"/>
              </w:numPr>
              <w:spacing w:before="200" w:after="200" w:line="276" w:lineRule="auto"/>
              <w:ind w:left="885" w:hanging="851"/>
              <w:rPr>
                <w:b/>
                <w:color w:val="000000"/>
                <w:sz w:val="24"/>
                <w:szCs w:val="24"/>
                <w:lang w:val="lv-LV"/>
              </w:rPr>
            </w:pPr>
            <w:r w:rsidRPr="00C91D83">
              <w:rPr>
                <w:b/>
                <w:color w:val="000000"/>
                <w:sz w:val="24"/>
                <w:szCs w:val="24"/>
                <w:lang w:val="lv-LV"/>
              </w:rPr>
              <w:t>Komerclikumā iekļaujami noteikumi, kas noteiktu kapitālsabiedrību dalībnieku līgumu spēku, sekas un izpildāmību u.c. aspektus</w:t>
            </w:r>
          </w:p>
          <w:p w14:paraId="0D84CF2B" w14:textId="77777777" w:rsidR="007241A9" w:rsidRPr="00C91D83" w:rsidRDefault="007241A9" w:rsidP="00845E8A">
            <w:pPr>
              <w:spacing w:before="200" w:after="200" w:line="276" w:lineRule="auto"/>
              <w:jc w:val="both"/>
              <w:rPr>
                <w:sz w:val="24"/>
                <w:szCs w:val="24"/>
                <w:lang w:val="lv-LV"/>
              </w:rPr>
            </w:pPr>
            <w:r w:rsidRPr="00C91D83">
              <w:rPr>
                <w:color w:val="000000"/>
                <w:sz w:val="24"/>
                <w:szCs w:val="24"/>
                <w:lang w:val="lv-LV"/>
              </w:rPr>
              <w:t>Kapitālsabiedrību</w:t>
            </w:r>
            <w:r w:rsidRPr="00C91D83">
              <w:rPr>
                <w:sz w:val="24"/>
                <w:szCs w:val="24"/>
                <w:lang w:val="lv-LV"/>
              </w:rPr>
              <w:t xml:space="preserve"> dalībnieku līgumi starp Latvijas sabiedrību ar ierobežotu atbildību un akciju sabiedrību dalībniekiem ir praksē ļoti bieži izmantots tiesību instruments, kas paaugstina korporatīvās pārvaldības integritātes līmeni un komercdarbības paredzamību, tomēr ne likumā, ne Latvijas tiesu praksē nav skaidri un gaiši noteiktas </w:t>
            </w:r>
            <w:r w:rsidRPr="00C91D83">
              <w:rPr>
                <w:color w:val="000000"/>
                <w:sz w:val="24"/>
                <w:szCs w:val="24"/>
                <w:lang w:val="lv-LV"/>
              </w:rPr>
              <w:t>kapitālsabiedrību</w:t>
            </w:r>
            <w:r w:rsidRPr="00C91D83">
              <w:rPr>
                <w:sz w:val="24"/>
                <w:szCs w:val="24"/>
                <w:lang w:val="lv-LV"/>
              </w:rPr>
              <w:t xml:space="preserve"> dalībnieku līgumu spēks, sekas un izpildāmība, piemēram, vai šie līguma noteikumi var saistīt pašu sabiedrību un tās valdi, vai tie var saistīt trešās personas utt. Komerclikuma 281.panta noteikumi noteic vienīgi zināmu akcionāru saistību ierobežojumus.</w:t>
            </w:r>
          </w:p>
          <w:p w14:paraId="3B0C5A58" w14:textId="77777777" w:rsidR="007241A9" w:rsidRPr="00C91D83" w:rsidRDefault="007063A2" w:rsidP="00845E8A">
            <w:pPr>
              <w:spacing w:before="200" w:after="200" w:line="276" w:lineRule="auto"/>
              <w:jc w:val="both"/>
              <w:rPr>
                <w:b/>
                <w:color w:val="000000"/>
                <w:sz w:val="24"/>
                <w:szCs w:val="24"/>
                <w:u w:val="single"/>
                <w:lang w:val="lv-LV"/>
              </w:rPr>
            </w:pPr>
            <w:r w:rsidRPr="00C91D83">
              <w:rPr>
                <w:color w:val="000000"/>
                <w:sz w:val="24"/>
                <w:szCs w:val="24"/>
                <w:lang w:val="lv-LV"/>
              </w:rPr>
              <w:t xml:space="preserve">Tādēļ ĀIPL ieskatā būtu nepieciešams </w:t>
            </w:r>
            <w:r w:rsidR="007241A9" w:rsidRPr="00C91D83">
              <w:rPr>
                <w:color w:val="000000"/>
                <w:sz w:val="24"/>
                <w:szCs w:val="24"/>
                <w:lang w:val="lv-LV"/>
              </w:rPr>
              <w:t>izstrādāt attiecīgus papildinājumus Komerclikumam, kas noteiktu kapitālsabiedrību dalībnieku līgumu noteikumu spēku, sekas un izpildāmību u.c. aspektus. Ievērojot augstākminēto tēzi par kapitālsabiedrību noteikumu imperatīvo spēku, skaidri jānosaka, ka dalībnieku līgumi nevar grozīt minētos noteikumus, bet var tos papildināt un sīkāk detalizēt.</w:t>
            </w:r>
          </w:p>
          <w:p w14:paraId="63F2C4DF" w14:textId="77777777" w:rsidR="007241A9" w:rsidRPr="00C91D83" w:rsidRDefault="007241A9" w:rsidP="00D86259">
            <w:pPr>
              <w:numPr>
                <w:ilvl w:val="3"/>
                <w:numId w:val="7"/>
              </w:numPr>
              <w:spacing w:before="200" w:after="200" w:line="276" w:lineRule="auto"/>
              <w:ind w:left="885" w:hanging="851"/>
              <w:rPr>
                <w:b/>
                <w:color w:val="000000"/>
                <w:sz w:val="24"/>
                <w:szCs w:val="24"/>
                <w:lang w:val="lv-LV"/>
              </w:rPr>
            </w:pPr>
            <w:bookmarkStart w:id="5" w:name="_Ref387305747"/>
            <w:r w:rsidRPr="00C91D83">
              <w:rPr>
                <w:b/>
                <w:color w:val="000000"/>
                <w:sz w:val="24"/>
                <w:szCs w:val="24"/>
                <w:lang w:val="lv-LV"/>
              </w:rPr>
              <w:t>Uzņēmuma reģistra likumā iekļaujamas Uzņēmuma reģistra valsts notāra tiesības pārbaudīt reģistrācijai komercreģistrā pieteikto ziņu pareizību pēc būtības</w:t>
            </w:r>
            <w:bookmarkEnd w:id="5"/>
          </w:p>
          <w:p w14:paraId="73779638" w14:textId="77777777" w:rsidR="007063A2" w:rsidRPr="00C91D83" w:rsidRDefault="007241A9" w:rsidP="00845E8A">
            <w:pPr>
              <w:spacing w:before="200" w:after="200" w:line="276" w:lineRule="auto"/>
              <w:jc w:val="both"/>
              <w:rPr>
                <w:color w:val="000000"/>
                <w:sz w:val="24"/>
                <w:szCs w:val="24"/>
                <w:lang w:val="lv-LV"/>
              </w:rPr>
            </w:pPr>
            <w:r w:rsidRPr="00C91D83">
              <w:rPr>
                <w:color w:val="000000"/>
                <w:sz w:val="24"/>
                <w:szCs w:val="24"/>
                <w:lang w:val="lv-LV"/>
              </w:rPr>
              <w:t xml:space="preserve">Uzņēmuma reģistra likumā iekļaujamas Uzņēmuma reģistra valsts notāra tiesības pārbaudīt reģistrācijai komercreģistrā pieteikto ziņu pareizību pēc būtības (faktisko apstākļu pārbaude), tostarp tiesības pieprasīt no pieteicēja un citām personām paskaidrojumus un pierādījumus. </w:t>
            </w:r>
            <w:r w:rsidRPr="00C91D83">
              <w:rPr>
                <w:color w:val="000000"/>
                <w:sz w:val="24"/>
                <w:szCs w:val="24"/>
                <w:lang w:val="lv-LV"/>
              </w:rPr>
              <w:lastRenderedPageBreak/>
              <w:t>Analogu tirdzniecības reģistra tiesneša tiesību savulaik paredzēja 1934.gada 29.maija Ministru kabineta „Noteikumu par tirdzniecības reģistru” (Lik. Kr. 145/1934) 30.punkta noteikumi.</w:t>
            </w:r>
            <w:r w:rsidRPr="00C91D83">
              <w:rPr>
                <w:rStyle w:val="FootnoteReference"/>
                <w:rFonts w:eastAsia="Batang"/>
                <w:bCs/>
                <w:color w:val="000000"/>
                <w:sz w:val="24"/>
                <w:szCs w:val="24"/>
                <w:lang w:val="lv-LV"/>
              </w:rPr>
              <w:footnoteReference w:id="18"/>
            </w:r>
          </w:p>
          <w:p w14:paraId="4DCAE22C" w14:textId="77777777" w:rsidR="007063A2" w:rsidRPr="00C91D83" w:rsidRDefault="007241A9" w:rsidP="00845E8A">
            <w:pPr>
              <w:spacing w:before="200" w:after="200" w:line="276" w:lineRule="auto"/>
              <w:jc w:val="both"/>
              <w:rPr>
                <w:sz w:val="24"/>
                <w:szCs w:val="24"/>
                <w:lang w:val="lv-LV"/>
              </w:rPr>
            </w:pPr>
            <w:r w:rsidRPr="00C91D83">
              <w:rPr>
                <w:color w:val="000000"/>
                <w:sz w:val="24"/>
                <w:szCs w:val="24"/>
                <w:lang w:val="lv-LV"/>
              </w:rPr>
              <w:t>Tas dotu valsts notāram tiesības kritiskās situācijās pārliecināties par pieteikto ziņu pareizību, patiesumu un atbilstību likuma noteikumiem, kā arī novērstu nepamatotus ierakstus komercreģistrā</w:t>
            </w:r>
            <w:r w:rsidR="002F4EEF" w:rsidRPr="00C91D83">
              <w:rPr>
                <w:color w:val="000000"/>
                <w:sz w:val="24"/>
                <w:szCs w:val="24"/>
                <w:lang w:val="lv-LV"/>
              </w:rPr>
              <w:t>,</w:t>
            </w:r>
            <w:r w:rsidRPr="00C91D83">
              <w:rPr>
                <w:color w:val="000000"/>
                <w:sz w:val="24"/>
                <w:szCs w:val="24"/>
                <w:lang w:val="lv-LV"/>
              </w:rPr>
              <w:t xml:space="preserve"> līdz taisīts tiesas nolēmums pēc būtības saskaņā ar Civilprocesa likuma </w:t>
            </w:r>
            <w:r w:rsidRPr="00C91D83">
              <w:rPr>
                <w:sz w:val="24"/>
                <w:szCs w:val="24"/>
                <w:lang w:val="lv-LV"/>
              </w:rPr>
              <w:t>30.</w:t>
            </w:r>
            <w:r w:rsidRPr="00C91D83">
              <w:rPr>
                <w:sz w:val="24"/>
                <w:szCs w:val="24"/>
                <w:vertAlign w:val="superscript"/>
                <w:lang w:val="lv-LV"/>
              </w:rPr>
              <w:t>4</w:t>
            </w:r>
            <w:r w:rsidR="002F4EEF" w:rsidRPr="00C91D83">
              <w:rPr>
                <w:sz w:val="24"/>
                <w:szCs w:val="24"/>
                <w:lang w:val="lv-LV"/>
              </w:rPr>
              <w:t> nodaļas noteikumiem.</w:t>
            </w:r>
          </w:p>
          <w:p w14:paraId="7B538753" w14:textId="77777777" w:rsidR="007063A2" w:rsidRPr="00C91D83" w:rsidRDefault="007241A9" w:rsidP="00845E8A">
            <w:pPr>
              <w:spacing w:before="200" w:after="200" w:line="276" w:lineRule="auto"/>
              <w:jc w:val="both"/>
              <w:rPr>
                <w:sz w:val="24"/>
                <w:szCs w:val="24"/>
                <w:lang w:val="lv-LV"/>
              </w:rPr>
            </w:pPr>
            <w:r w:rsidRPr="00C91D83">
              <w:rPr>
                <w:sz w:val="24"/>
                <w:szCs w:val="24"/>
                <w:lang w:val="lv-LV"/>
              </w:rPr>
              <w:t>Gadījumā, ja valsts notāram rastos pamatotas šaubas par pieteikto ziņu pareizību pēc būtības, valsts notārs varētu atlikt ieraksta izdarīšanu komercreģistrā līdz spēkā stājas augstākminētais tiesas nolēmums, pie nosacījuma, ja šāda tiesvedība tiek ierosināta konkrētu dienu laikā pēc va</w:t>
            </w:r>
            <w:r w:rsidR="00001FFD" w:rsidRPr="00C91D83">
              <w:rPr>
                <w:sz w:val="24"/>
                <w:szCs w:val="24"/>
                <w:lang w:val="lv-LV"/>
              </w:rPr>
              <w:t>lsts notāra lēmuma pieņemšanas.</w:t>
            </w:r>
          </w:p>
          <w:p w14:paraId="4E7B7715" w14:textId="77777777" w:rsidR="007241A9" w:rsidRPr="00C91D83" w:rsidRDefault="007241A9" w:rsidP="00845E8A">
            <w:pPr>
              <w:spacing w:before="200" w:after="200" w:line="276" w:lineRule="auto"/>
              <w:jc w:val="both"/>
              <w:rPr>
                <w:sz w:val="24"/>
                <w:szCs w:val="24"/>
                <w:lang w:val="lv-LV"/>
              </w:rPr>
            </w:pPr>
            <w:r w:rsidRPr="00C91D83">
              <w:rPr>
                <w:sz w:val="24"/>
                <w:szCs w:val="24"/>
                <w:lang w:val="lv-LV"/>
              </w:rPr>
              <w:t>Šāds regulējums būtu ļoti svarīgs, lai nodrošinātos pret to, ka īslaicīgi komercreģistrā tiek reģistrētas nepatiesas ziņas, kas ļauj neatgriezeniski ietekmē</w:t>
            </w:r>
            <w:r w:rsidR="00A03493" w:rsidRPr="00C91D83">
              <w:rPr>
                <w:sz w:val="24"/>
                <w:szCs w:val="24"/>
                <w:lang w:val="lv-LV"/>
              </w:rPr>
              <w:t>t</w:t>
            </w:r>
            <w:r w:rsidRPr="00C91D83">
              <w:rPr>
                <w:sz w:val="24"/>
                <w:szCs w:val="24"/>
                <w:lang w:val="lv-LV"/>
              </w:rPr>
              <w:t xml:space="preserve"> komersanta stāvokli un lietas, ievērojot komercreģis</w:t>
            </w:r>
            <w:r w:rsidR="00001FFD" w:rsidRPr="00C91D83">
              <w:rPr>
                <w:sz w:val="24"/>
                <w:szCs w:val="24"/>
                <w:lang w:val="lv-LV"/>
              </w:rPr>
              <w:t>tra ierakstu publisko ticamību.</w:t>
            </w:r>
          </w:p>
          <w:p w14:paraId="71944B40" w14:textId="77777777" w:rsidR="006645EE" w:rsidRPr="00C91D83" w:rsidRDefault="007063A2" w:rsidP="00845E8A">
            <w:pPr>
              <w:spacing w:before="200" w:after="200" w:line="276" w:lineRule="auto"/>
              <w:jc w:val="both"/>
              <w:rPr>
                <w:sz w:val="24"/>
                <w:szCs w:val="24"/>
                <w:lang w:val="lv-LV"/>
              </w:rPr>
            </w:pPr>
            <w:r w:rsidRPr="00C91D83">
              <w:rPr>
                <w:color w:val="000000"/>
                <w:sz w:val="24"/>
                <w:szCs w:val="24"/>
                <w:lang w:val="lv-LV"/>
              </w:rPr>
              <w:t xml:space="preserve">Tādēļ ĀIPL ieskatā būtu nepieciešams </w:t>
            </w:r>
            <w:r w:rsidR="007241A9" w:rsidRPr="00C91D83">
              <w:rPr>
                <w:color w:val="000000"/>
                <w:sz w:val="24"/>
                <w:szCs w:val="24"/>
                <w:lang w:val="lv-LV"/>
              </w:rPr>
              <w:t>izstrādāt attiecīgus grozījumus Uzņēmuma reģistra likumā, kas noteiktu Uzņēmuma reģistra valsts notāra tiesības pārbaudīt reģistrācijai komercreģistrā pieteikto ziņu pareizību pēc būtības. Minēt</w:t>
            </w:r>
            <w:r w:rsidR="004226ED" w:rsidRPr="00C91D83">
              <w:rPr>
                <w:color w:val="000000"/>
                <w:sz w:val="24"/>
                <w:szCs w:val="24"/>
                <w:lang w:val="lv-LV"/>
              </w:rPr>
              <w:t>ie</w:t>
            </w:r>
            <w:r w:rsidR="007241A9" w:rsidRPr="00C91D83">
              <w:rPr>
                <w:color w:val="000000"/>
                <w:sz w:val="24"/>
                <w:szCs w:val="24"/>
                <w:lang w:val="lv-LV"/>
              </w:rPr>
              <w:t xml:space="preserve"> grozījum</w:t>
            </w:r>
            <w:r w:rsidR="004226ED" w:rsidRPr="00C91D83">
              <w:rPr>
                <w:color w:val="000000"/>
                <w:sz w:val="24"/>
                <w:szCs w:val="24"/>
                <w:lang w:val="lv-LV"/>
              </w:rPr>
              <w:t>i</w:t>
            </w:r>
            <w:r w:rsidR="007241A9" w:rsidRPr="00C91D83">
              <w:rPr>
                <w:color w:val="000000"/>
                <w:sz w:val="24"/>
                <w:szCs w:val="24"/>
                <w:lang w:val="lv-LV"/>
              </w:rPr>
              <w:t xml:space="preserve"> būtu jāsalāgo ar Civilprocesa likuma </w:t>
            </w:r>
            <w:r w:rsidR="007241A9" w:rsidRPr="00C91D83">
              <w:rPr>
                <w:sz w:val="24"/>
                <w:szCs w:val="24"/>
                <w:lang w:val="lv-LV"/>
              </w:rPr>
              <w:t>30.</w:t>
            </w:r>
            <w:r w:rsidR="007241A9" w:rsidRPr="00C91D83">
              <w:rPr>
                <w:sz w:val="24"/>
                <w:szCs w:val="24"/>
                <w:vertAlign w:val="superscript"/>
                <w:lang w:val="lv-LV"/>
              </w:rPr>
              <w:t>4</w:t>
            </w:r>
            <w:r w:rsidR="003427D7" w:rsidRPr="00C91D83">
              <w:rPr>
                <w:sz w:val="24"/>
                <w:szCs w:val="24"/>
                <w:lang w:val="lv-LV"/>
              </w:rPr>
              <w:t> </w:t>
            </w:r>
            <w:r w:rsidR="007241A9" w:rsidRPr="00C91D83">
              <w:rPr>
                <w:sz w:val="24"/>
                <w:szCs w:val="24"/>
                <w:lang w:val="lv-LV"/>
              </w:rPr>
              <w:t>nodaļas noteikumiem.</w:t>
            </w:r>
            <w:r w:rsidR="00EF79FF" w:rsidRPr="00C91D83">
              <w:rPr>
                <w:sz w:val="24"/>
                <w:szCs w:val="24"/>
                <w:lang w:val="lv-LV"/>
              </w:rPr>
              <w:t xml:space="preserve"> Priekšlikuma akceptēšanas gadījumā būtu nepieciešams arī izvērtēt, vai līdztekus nebūtu jānosaka kārtība, kā valsts notārs varētu izmantot tiesības pieprasīt papildu ziņas un dokumentus, atliekot ieraksta izdarīšanu komercreģistrā, lai novērstu šaubas par negodprātīgu vai nepareizu tiesību normu piemērošanu.</w:t>
            </w:r>
          </w:p>
          <w:p w14:paraId="6117C24B" w14:textId="77777777" w:rsidR="00F66099" w:rsidRPr="00C91D83" w:rsidRDefault="00845E8A" w:rsidP="00830BEE">
            <w:pPr>
              <w:numPr>
                <w:ilvl w:val="1"/>
                <w:numId w:val="8"/>
              </w:numPr>
              <w:spacing w:before="200" w:after="200" w:line="276" w:lineRule="auto"/>
              <w:ind w:left="567" w:hanging="567"/>
              <w:jc w:val="both"/>
              <w:rPr>
                <w:b/>
                <w:sz w:val="24"/>
                <w:szCs w:val="24"/>
                <w:lang w:val="lv-LV"/>
              </w:rPr>
            </w:pPr>
            <w:r w:rsidRPr="00C91D83">
              <w:rPr>
                <w:b/>
                <w:sz w:val="24"/>
                <w:szCs w:val="24"/>
                <w:lang w:val="lv-LV"/>
              </w:rPr>
              <w:t>Tiesu sistēmas jautājumi</w:t>
            </w:r>
            <w:r w:rsidR="00E77CDB" w:rsidRPr="00C91D83">
              <w:rPr>
                <w:rStyle w:val="FootnoteReference"/>
                <w:b/>
                <w:sz w:val="24"/>
                <w:szCs w:val="24"/>
                <w:lang w:val="lv-LV"/>
              </w:rPr>
              <w:footnoteReference w:id="19"/>
            </w:r>
          </w:p>
          <w:p w14:paraId="6785B4C0" w14:textId="77777777" w:rsidR="00A03493" w:rsidRPr="00C91D83" w:rsidRDefault="00A03493" w:rsidP="00830BEE">
            <w:pPr>
              <w:numPr>
                <w:ilvl w:val="2"/>
                <w:numId w:val="8"/>
              </w:numPr>
              <w:spacing w:before="200" w:after="200"/>
              <w:ind w:left="567" w:hanging="567"/>
              <w:rPr>
                <w:b/>
                <w:bCs/>
                <w:snapToGrid/>
                <w:sz w:val="24"/>
                <w:szCs w:val="24"/>
                <w:lang w:val="lv-LV"/>
              </w:rPr>
            </w:pPr>
            <w:bookmarkStart w:id="6" w:name="_Ref387305844"/>
            <w:r w:rsidRPr="00C91D83">
              <w:rPr>
                <w:b/>
                <w:bCs/>
                <w:snapToGrid/>
                <w:sz w:val="24"/>
                <w:szCs w:val="24"/>
                <w:lang w:val="lv-LV"/>
              </w:rPr>
              <w:t xml:space="preserve">Specializētas komerclietu nodaļas </w:t>
            </w:r>
            <w:r w:rsidR="00066954" w:rsidRPr="00C91D83">
              <w:rPr>
                <w:b/>
                <w:bCs/>
                <w:snapToGrid/>
                <w:sz w:val="24"/>
                <w:szCs w:val="24"/>
                <w:lang w:val="lv-LV"/>
              </w:rPr>
              <w:t>a</w:t>
            </w:r>
            <w:r w:rsidRPr="00C91D83">
              <w:rPr>
                <w:b/>
                <w:bCs/>
                <w:snapToGrid/>
                <w:sz w:val="24"/>
                <w:szCs w:val="24"/>
                <w:lang w:val="lv-LV"/>
              </w:rPr>
              <w:t>pgabaltiesās un Augstākajā tiesā un komercprocesa noteikumi</w:t>
            </w:r>
            <w:bookmarkEnd w:id="6"/>
          </w:p>
          <w:p w14:paraId="0F740D1C" w14:textId="77777777" w:rsidR="00F66099" w:rsidRPr="00C91D83" w:rsidRDefault="00F66099" w:rsidP="00845E8A">
            <w:pPr>
              <w:pStyle w:val="tv213"/>
              <w:spacing w:before="200" w:beforeAutospacing="0" w:after="200" w:afterAutospacing="0" w:line="276" w:lineRule="auto"/>
              <w:jc w:val="both"/>
              <w:rPr>
                <w:bCs/>
              </w:rPr>
            </w:pPr>
            <w:r w:rsidRPr="00C91D83">
              <w:rPr>
                <w:color w:val="000000"/>
              </w:rPr>
              <w:t xml:space="preserve">ĀIPL ieskatā </w:t>
            </w:r>
            <w:r w:rsidR="00375D69" w:rsidRPr="00C91D83">
              <w:rPr>
                <w:color w:val="000000"/>
              </w:rPr>
              <w:t>būtu apsverama ideja izveidot</w:t>
            </w:r>
            <w:r w:rsidRPr="00C91D83">
              <w:rPr>
                <w:bCs/>
                <w:color w:val="000000"/>
              </w:rPr>
              <w:t xml:space="preserve"> specializētas komerclietu nodaļas </w:t>
            </w:r>
            <w:r w:rsidR="006F40C4" w:rsidRPr="00C91D83">
              <w:t>—</w:t>
            </w:r>
            <w:r w:rsidRPr="00C91D83">
              <w:rPr>
                <w:bCs/>
                <w:color w:val="000000"/>
              </w:rPr>
              <w:t xml:space="preserve"> apgabaltiesu Komerclietu</w:t>
            </w:r>
            <w:r w:rsidRPr="00C91D83">
              <w:rPr>
                <w:rStyle w:val="Strong"/>
                <w:color w:val="000000"/>
              </w:rPr>
              <w:t xml:space="preserve"> </w:t>
            </w:r>
            <w:r w:rsidRPr="00C91D83">
              <w:rPr>
                <w:rStyle w:val="Strong"/>
                <w:b w:val="0"/>
                <w:color w:val="000000"/>
              </w:rPr>
              <w:t>tiesas kolēģij</w:t>
            </w:r>
            <w:r w:rsidR="00141305" w:rsidRPr="00C91D83">
              <w:rPr>
                <w:rStyle w:val="Strong"/>
                <w:b w:val="0"/>
                <w:color w:val="000000"/>
              </w:rPr>
              <w:t>u</w:t>
            </w:r>
            <w:r w:rsidRPr="00C91D83">
              <w:rPr>
                <w:rStyle w:val="Strong"/>
                <w:b w:val="0"/>
                <w:color w:val="000000"/>
              </w:rPr>
              <w:t xml:space="preserve"> kā pirmās instances tiesu komerclietās</w:t>
            </w:r>
            <w:r w:rsidRPr="00C91D83">
              <w:rPr>
                <w:rStyle w:val="Strong"/>
                <w:color w:val="000000"/>
              </w:rPr>
              <w:t xml:space="preserve"> </w:t>
            </w:r>
            <w:r w:rsidRPr="00C91D83">
              <w:rPr>
                <w:bCs/>
                <w:color w:val="000000"/>
              </w:rPr>
              <w:t>un Augstākās tiesas Komerclietu departament</w:t>
            </w:r>
            <w:r w:rsidR="00141305" w:rsidRPr="00C91D83">
              <w:rPr>
                <w:bCs/>
                <w:color w:val="000000"/>
              </w:rPr>
              <w:t>u</w:t>
            </w:r>
            <w:r w:rsidRPr="00C91D83">
              <w:rPr>
                <w:bCs/>
                <w:color w:val="000000"/>
              </w:rPr>
              <w:t xml:space="preserve"> kā kasācijas tiesu komerclietās</w:t>
            </w:r>
            <w:r w:rsidR="00141305" w:rsidRPr="00C91D83">
              <w:rPr>
                <w:bCs/>
                <w:color w:val="000000"/>
              </w:rPr>
              <w:t>. Būtu nepieciešams attiecīgi paredzē</w:t>
            </w:r>
            <w:r w:rsidRPr="00C91D83">
              <w:rPr>
                <w:bCs/>
                <w:color w:val="000000"/>
              </w:rPr>
              <w:t>t attiecīgus grozījumus likumā „Par tiesu varu”,</w:t>
            </w:r>
            <w:r w:rsidRPr="00C91D83">
              <w:rPr>
                <w:rStyle w:val="FootnoteReference"/>
              </w:rPr>
              <w:footnoteReference w:id="20"/>
            </w:r>
            <w:r w:rsidRPr="00C91D83">
              <w:rPr>
                <w:bCs/>
                <w:color w:val="000000"/>
              </w:rPr>
              <w:t xml:space="preserve"> </w:t>
            </w:r>
            <w:r w:rsidRPr="00C91D83">
              <w:rPr>
                <w:bCs/>
              </w:rPr>
              <w:t>kā arī Civilprocesa likumā (iespējams, kā pielikumu) vai atsevišķā Komercprocesa likumā</w:t>
            </w:r>
            <w:r w:rsidR="00141305" w:rsidRPr="00C91D83">
              <w:rPr>
                <w:bCs/>
              </w:rPr>
              <w:t xml:space="preserve">, </w:t>
            </w:r>
            <w:r w:rsidRPr="00C91D83">
              <w:rPr>
                <w:bCs/>
              </w:rPr>
              <w:t>ietver</w:t>
            </w:r>
            <w:r w:rsidR="00141305" w:rsidRPr="00C91D83">
              <w:rPr>
                <w:bCs/>
              </w:rPr>
              <w:t>ot</w:t>
            </w:r>
            <w:r w:rsidRPr="00C91D83">
              <w:rPr>
                <w:bCs/>
              </w:rPr>
              <w:t xml:space="preserve"> minēto </w:t>
            </w:r>
            <w:r w:rsidRPr="00C91D83">
              <w:rPr>
                <w:bCs/>
                <w:color w:val="000000"/>
              </w:rPr>
              <w:t>komerclietu</w:t>
            </w:r>
            <w:r w:rsidRPr="00C91D83">
              <w:rPr>
                <w:bCs/>
              </w:rPr>
              <w:t xml:space="preserve"> nodaļu darbību regulējošas speciālas komercprocesa procesuālās normas, kas paredzētu paātrinātu kvalitatīvu komerclietu iztiesāšanas kārtību </w:t>
            </w:r>
            <w:r w:rsidR="004226ED" w:rsidRPr="00C91D83">
              <w:rPr>
                <w:bCs/>
              </w:rPr>
              <w:t>divās</w:t>
            </w:r>
            <w:r w:rsidRPr="00C91D83">
              <w:rPr>
                <w:bCs/>
              </w:rPr>
              <w:t xml:space="preserve"> instancēs, jo komercdarbības vidē ātrumam un tiesību normu saprātīgai un paredzamai piemērošanai ir izšķiroša nozīme.</w:t>
            </w:r>
          </w:p>
          <w:p w14:paraId="7227991A" w14:textId="77777777" w:rsidR="00F66099" w:rsidRPr="00C91D83" w:rsidRDefault="00F66099" w:rsidP="00845E8A">
            <w:pPr>
              <w:pStyle w:val="tv213"/>
              <w:spacing w:before="200" w:beforeAutospacing="0" w:after="200" w:afterAutospacing="0" w:line="276" w:lineRule="auto"/>
              <w:jc w:val="both"/>
              <w:rPr>
                <w:bCs/>
                <w:color w:val="000000"/>
              </w:rPr>
            </w:pPr>
            <w:r w:rsidRPr="00C91D83">
              <w:rPr>
                <w:bCs/>
                <w:color w:val="000000"/>
              </w:rPr>
              <w:t xml:space="preserve">Specializētu komerclietu nodaļu izveide pie apgabaltiesām un Augstākajā tiesā, </w:t>
            </w:r>
            <w:r w:rsidR="00F80E28" w:rsidRPr="00C91D83">
              <w:rPr>
                <w:bCs/>
                <w:color w:val="000000"/>
              </w:rPr>
              <w:t>nevis</w:t>
            </w:r>
            <w:r w:rsidRPr="00C91D83">
              <w:rPr>
                <w:bCs/>
                <w:color w:val="000000"/>
              </w:rPr>
              <w:t xml:space="preserve"> a</w:t>
            </w:r>
            <w:r w:rsidR="00055591" w:rsidRPr="00C91D83">
              <w:rPr>
                <w:bCs/>
                <w:color w:val="000000"/>
              </w:rPr>
              <w:t>tsevišķas komerctiesas izveidei</w:t>
            </w:r>
            <w:r w:rsidRPr="00C91D83">
              <w:rPr>
                <w:bCs/>
                <w:color w:val="000000"/>
              </w:rPr>
              <w:t xml:space="preserve"> bū</w:t>
            </w:r>
            <w:r w:rsidR="00F80E28" w:rsidRPr="00C91D83">
              <w:rPr>
                <w:bCs/>
                <w:color w:val="000000"/>
              </w:rPr>
              <w:t>tu</w:t>
            </w:r>
            <w:r w:rsidRPr="00C91D83">
              <w:rPr>
                <w:bCs/>
                <w:color w:val="000000"/>
              </w:rPr>
              <w:t xml:space="preserve"> lētāka un nenonāk</w:t>
            </w:r>
            <w:r w:rsidR="00F80E28" w:rsidRPr="00C91D83">
              <w:rPr>
                <w:bCs/>
                <w:color w:val="000000"/>
              </w:rPr>
              <w:t>tu</w:t>
            </w:r>
            <w:r w:rsidRPr="00C91D83">
              <w:rPr>
                <w:bCs/>
                <w:color w:val="000000"/>
              </w:rPr>
              <w:t xml:space="preserve"> pretrunā ar esošajiem Latvijas tiesu sistēmas </w:t>
            </w:r>
            <w:r w:rsidRPr="00C91D83">
              <w:rPr>
                <w:bCs/>
                <w:color w:val="000000"/>
              </w:rPr>
              <w:lastRenderedPageBreak/>
              <w:t>pamatiem, kas jau no paša sākuma paredzēja specializēt</w:t>
            </w:r>
            <w:r w:rsidR="00052B41" w:rsidRPr="00C91D83">
              <w:rPr>
                <w:bCs/>
                <w:color w:val="000000"/>
              </w:rPr>
              <w:t>a</w:t>
            </w:r>
            <w:r w:rsidRPr="00C91D83">
              <w:rPr>
                <w:bCs/>
                <w:color w:val="000000"/>
              </w:rPr>
              <w:t>s nodaļas pie tiesām saimniecisko strīdu (komercstrīdu) risināšanai. Speciālu komerclietu nodaļu radīšana saskan arī ar materiālo civiltiesību un komerctiesību paralēlismu, ko izvēlējusies Latvijas likumdevējs.</w:t>
            </w:r>
          </w:p>
          <w:p w14:paraId="7429618B" w14:textId="77777777" w:rsidR="008C639E" w:rsidRPr="00C91D83" w:rsidRDefault="00487877" w:rsidP="00845E8A">
            <w:pPr>
              <w:pStyle w:val="tv213"/>
              <w:spacing w:before="200" w:beforeAutospacing="0" w:after="200" w:afterAutospacing="0" w:line="276" w:lineRule="auto"/>
              <w:jc w:val="both"/>
              <w:rPr>
                <w:bCs/>
                <w:color w:val="000000"/>
              </w:rPr>
            </w:pPr>
            <w:r w:rsidRPr="00C91D83">
              <w:rPr>
                <w:bCs/>
                <w:color w:val="000000"/>
              </w:rPr>
              <w:t>Vēsturiski i</w:t>
            </w:r>
            <w:r w:rsidR="00F66099" w:rsidRPr="00C91D83">
              <w:rPr>
                <w:bCs/>
                <w:color w:val="000000"/>
              </w:rPr>
              <w:t>niciatīva izveidot atsevišķu komerctiesu vai pie esošām tiesām pastāvošas komerclietu nodaļas ir gana sena. Jau Krievijas Impērijas laikā atsevišķās Krievijas lielajās pilsētās (tomēr ne Latvijas teritorijā) pastāvēja speciālas komerctiesas. 20.gadsimta sākuma Krievijas Tieslietu ministrija ierosināja pie apgabaltiesām izveidot speci</w:t>
            </w:r>
            <w:r w:rsidR="00C0300A" w:rsidRPr="00C91D83">
              <w:rPr>
                <w:bCs/>
                <w:color w:val="000000"/>
              </w:rPr>
              <w:t>ā</w:t>
            </w:r>
            <w:r w:rsidR="00F66099" w:rsidRPr="00C91D83">
              <w:rPr>
                <w:bCs/>
                <w:color w:val="000000"/>
              </w:rPr>
              <w:t>las tirdzniecības lietu (komerclietu) nodaļas. Šo ierosinājuma principā atbalstīja arī Rīgas biržas komiteja ar nosacījumu, ka tiesneši ir tikai profesionāli juristi, kam ir bijusi iespēja iepazīties ar vietējām biržas un tirdzniecības parašām, nevis ievēlēti komersanti, ka apgabaltiesu tirdznieciskās nodaļas tiek padotas tādām pašām nodaļām pie tiesu palātām (apelācijas instance) un Senāta (kasācijas instance) un ka vispārējā procesa kārtība tiek papildināta ar noteikumiem par paātrinātu komerclietu izlemšanas kārtību.</w:t>
            </w:r>
            <w:r w:rsidR="00F66099" w:rsidRPr="00C91D83">
              <w:rPr>
                <w:rStyle w:val="FootnoteReference"/>
              </w:rPr>
              <w:footnoteReference w:id="21"/>
            </w:r>
          </w:p>
          <w:p w14:paraId="72900F4C" w14:textId="77777777" w:rsidR="00F66099" w:rsidRPr="00C91D83" w:rsidRDefault="00F66099" w:rsidP="00845E8A">
            <w:pPr>
              <w:pStyle w:val="tv213"/>
              <w:spacing w:before="200" w:beforeAutospacing="0" w:after="200" w:afterAutospacing="0" w:line="276" w:lineRule="auto"/>
              <w:jc w:val="both"/>
              <w:rPr>
                <w:bCs/>
                <w:color w:val="000000"/>
              </w:rPr>
            </w:pPr>
            <w:r w:rsidRPr="00C91D83">
              <w:rPr>
                <w:bCs/>
                <w:color w:val="000000"/>
              </w:rPr>
              <w:t>Tāpat arī 1929.gadā Latvijas Tieslietu ministrija bija izstrādājusi jaunu likumprojektu par komerctiesu izveidi Latvijā.</w:t>
            </w:r>
            <w:r w:rsidRPr="00C91D83">
              <w:rPr>
                <w:rStyle w:val="FootnoteReference"/>
              </w:rPr>
              <w:footnoteReference w:id="22"/>
            </w:r>
            <w:r w:rsidRPr="00C91D83">
              <w:rPr>
                <w:bCs/>
                <w:color w:val="000000"/>
              </w:rPr>
              <w:t xml:space="preserve"> Kā jau minēts, likums „Par tiesu varu” arī sākotnēji paredzēja speciālas saimniecisko strīdu nodaļas pie Latvijas tiesām. Tāpat arī mūsdienās ik pa laikam izskan prasības pēc speciālu komerctiesu izveides.</w:t>
            </w:r>
            <w:r w:rsidRPr="00C91D83">
              <w:rPr>
                <w:rStyle w:val="FootnoteReference"/>
              </w:rPr>
              <w:footnoteReference w:id="23"/>
            </w:r>
            <w:r w:rsidRPr="00C91D83">
              <w:rPr>
                <w:bCs/>
                <w:color w:val="000000"/>
              </w:rPr>
              <w:t xml:space="preserve"> </w:t>
            </w:r>
            <w:r w:rsidRPr="00C91D83">
              <w:t xml:space="preserve">Arī </w:t>
            </w:r>
            <w:r w:rsidR="00922892" w:rsidRPr="00C91D83">
              <w:t>Ā</w:t>
            </w:r>
            <w:r w:rsidRPr="00C91D83">
              <w:t>IPL jau vairākkārt ir paudusi atbalstu komerctiesu vai specializētu vispārējas jurisdikcijas tiesu nodaļu veidošanai, lai veicinātu komersantu strīdu izskatīšanas ātrumu un kvalitāti.</w:t>
            </w:r>
          </w:p>
          <w:p w14:paraId="1BA7D5EA" w14:textId="77777777" w:rsidR="00F66099" w:rsidRPr="00C91D83" w:rsidRDefault="00F66099" w:rsidP="00845E8A">
            <w:pPr>
              <w:pStyle w:val="tv213"/>
              <w:spacing w:before="200" w:beforeAutospacing="0" w:after="200" w:afterAutospacing="0" w:line="276" w:lineRule="auto"/>
              <w:rPr>
                <w:bCs/>
              </w:rPr>
            </w:pPr>
            <w:r w:rsidRPr="00C91D83">
              <w:rPr>
                <w:bCs/>
              </w:rPr>
              <w:t>Komerclietu nodaļu k</w:t>
            </w:r>
            <w:r w:rsidR="00C47BF8" w:rsidRPr="00C91D83">
              <w:rPr>
                <w:bCs/>
              </w:rPr>
              <w:t xml:space="preserve">ompetencei vajadzētu ietvert </w:t>
            </w:r>
            <w:r w:rsidRPr="00C91D83">
              <w:rPr>
                <w:bCs/>
              </w:rPr>
              <w:t>visas komerclietas, t.i.:</w:t>
            </w:r>
          </w:p>
          <w:p w14:paraId="10C63CDD" w14:textId="77777777" w:rsidR="00F66099" w:rsidRPr="00C91D83" w:rsidRDefault="00B47C59" w:rsidP="001074D5">
            <w:pPr>
              <w:pStyle w:val="tv213"/>
              <w:numPr>
                <w:ilvl w:val="0"/>
                <w:numId w:val="6"/>
              </w:numPr>
              <w:spacing w:before="200" w:beforeAutospacing="0" w:after="200" w:afterAutospacing="0" w:line="276" w:lineRule="auto"/>
              <w:ind w:left="425" w:hanging="425"/>
              <w:jc w:val="both"/>
              <w:rPr>
                <w:bCs/>
              </w:rPr>
            </w:pPr>
            <w:r w:rsidRPr="00C91D83">
              <w:rPr>
                <w:bCs/>
              </w:rPr>
              <w:t>k</w:t>
            </w:r>
            <w:r w:rsidR="00F66099" w:rsidRPr="00C91D83">
              <w:rPr>
                <w:bCs/>
              </w:rPr>
              <w:t>orporatīvo tiesību lietas (tostarp Komerclikuma A-C</w:t>
            </w:r>
            <w:r w:rsidR="00C47BF8" w:rsidRPr="00C91D83">
              <w:rPr>
                <w:bCs/>
              </w:rPr>
              <w:t xml:space="preserve"> daļas noteikumi</w:t>
            </w:r>
            <w:r w:rsidR="00F66099" w:rsidRPr="00C91D83">
              <w:rPr>
                <w:bCs/>
              </w:rPr>
              <w:t>, Koncernu likums, tajā skaitā lietas, kas saistītas ar komersantiem, akcionāru strīdi</w:t>
            </w:r>
            <w:r w:rsidR="00280944" w:rsidRPr="00C91D83">
              <w:rPr>
                <w:bCs/>
              </w:rPr>
              <w:t>em</w:t>
            </w:r>
            <w:r w:rsidR="00F66099" w:rsidRPr="00C91D83">
              <w:rPr>
                <w:bCs/>
              </w:rPr>
              <w:t xml:space="preserve"> utt., </w:t>
            </w:r>
            <w:r w:rsidR="00F66099" w:rsidRPr="00C91D83">
              <w:rPr>
                <w:color w:val="000000"/>
              </w:rPr>
              <w:t xml:space="preserve">Civilprocesa likuma </w:t>
            </w:r>
            <w:r w:rsidR="00F66099" w:rsidRPr="00C91D83">
              <w:t>30.</w:t>
            </w:r>
            <w:r w:rsidR="00F66099" w:rsidRPr="00C91D83">
              <w:rPr>
                <w:vertAlign w:val="superscript"/>
              </w:rPr>
              <w:t>4</w:t>
            </w:r>
            <w:r w:rsidR="00A04267" w:rsidRPr="00C91D83">
              <w:t> </w:t>
            </w:r>
            <w:r w:rsidR="00F66099" w:rsidRPr="00C91D83">
              <w:t xml:space="preserve">nodaļas strīdi, kas pašlaik piekrīt Jelgavas tiesai, </w:t>
            </w:r>
            <w:r w:rsidR="00280944" w:rsidRPr="00C91D83">
              <w:t xml:space="preserve">strīdi par </w:t>
            </w:r>
            <w:r w:rsidR="00F66099" w:rsidRPr="00C91D83">
              <w:t>Uzņēmumu reģistra lēmumu tiesiskumu attiecībā uz ierakstiem komercreģistrā, lai novērstu paralēlu lietu skatīšanu civilās jurisdikcijas tiesā un administratīvajā tiesā);</w:t>
            </w:r>
          </w:p>
          <w:p w14:paraId="2019AF5F" w14:textId="77777777" w:rsidR="00F66099" w:rsidRPr="00C91D83" w:rsidRDefault="00B47C59" w:rsidP="001074D5">
            <w:pPr>
              <w:pStyle w:val="tv213"/>
              <w:numPr>
                <w:ilvl w:val="0"/>
                <w:numId w:val="6"/>
              </w:numPr>
              <w:spacing w:before="200" w:beforeAutospacing="0" w:after="200" w:afterAutospacing="0" w:line="276" w:lineRule="auto"/>
              <w:ind w:left="425" w:hanging="425"/>
              <w:jc w:val="both"/>
              <w:rPr>
                <w:bCs/>
              </w:rPr>
            </w:pPr>
            <w:r w:rsidRPr="00C91D83">
              <w:rPr>
                <w:bCs/>
              </w:rPr>
              <w:t>k</w:t>
            </w:r>
            <w:r w:rsidR="00F66099" w:rsidRPr="00C91D83">
              <w:rPr>
                <w:bCs/>
              </w:rPr>
              <w:t>onkurences tiesību lietas</w:t>
            </w:r>
            <w:r w:rsidR="00F66099" w:rsidRPr="00C91D83">
              <w:rPr>
                <w:rStyle w:val="FootnoteReference"/>
              </w:rPr>
              <w:footnoteReference w:id="24"/>
            </w:r>
            <w:r w:rsidR="00F66099" w:rsidRPr="00C91D83">
              <w:rPr>
                <w:bCs/>
              </w:rPr>
              <w:t xml:space="preserve"> (gan Konkurences padomes</w:t>
            </w:r>
            <w:r w:rsidR="00B87DDC" w:rsidRPr="00C91D83">
              <w:rPr>
                <w:bCs/>
              </w:rPr>
              <w:t xml:space="preserve"> (KP)</w:t>
            </w:r>
            <w:r w:rsidR="00F66099" w:rsidRPr="00C91D83">
              <w:rPr>
                <w:bCs/>
              </w:rPr>
              <w:t xml:space="preserve"> lēmumu apstrīdēšana, gan konkurences tiesību strīdi starp privātpersonām);</w:t>
            </w:r>
          </w:p>
          <w:p w14:paraId="14699520" w14:textId="77777777" w:rsidR="00F66099" w:rsidRPr="00C91D83" w:rsidRDefault="00B47C59" w:rsidP="001074D5">
            <w:pPr>
              <w:pStyle w:val="tv213"/>
              <w:numPr>
                <w:ilvl w:val="0"/>
                <w:numId w:val="6"/>
              </w:numPr>
              <w:spacing w:before="200" w:beforeAutospacing="0" w:after="200" w:afterAutospacing="0" w:line="276" w:lineRule="auto"/>
              <w:ind w:left="425" w:hanging="425"/>
              <w:jc w:val="both"/>
              <w:rPr>
                <w:bCs/>
              </w:rPr>
            </w:pPr>
            <w:r w:rsidRPr="00C91D83">
              <w:rPr>
                <w:bCs/>
              </w:rPr>
              <w:lastRenderedPageBreak/>
              <w:t>m</w:t>
            </w:r>
            <w:r w:rsidR="00F66099" w:rsidRPr="00C91D83">
              <w:rPr>
                <w:bCs/>
              </w:rPr>
              <w:t>aksātnespējas lietas;</w:t>
            </w:r>
          </w:p>
          <w:p w14:paraId="318A9649" w14:textId="77777777" w:rsidR="00F66099" w:rsidRPr="00C91D83" w:rsidRDefault="00B47C59" w:rsidP="001074D5">
            <w:pPr>
              <w:pStyle w:val="tv213"/>
              <w:numPr>
                <w:ilvl w:val="0"/>
                <w:numId w:val="6"/>
              </w:numPr>
              <w:spacing w:before="200" w:beforeAutospacing="0" w:after="200" w:afterAutospacing="0" w:line="276" w:lineRule="auto"/>
              <w:ind w:left="425" w:hanging="425"/>
              <w:jc w:val="both"/>
              <w:rPr>
                <w:bCs/>
              </w:rPr>
            </w:pPr>
            <w:r w:rsidRPr="00C91D83">
              <w:rPr>
                <w:bCs/>
              </w:rPr>
              <w:t>k</w:t>
            </w:r>
            <w:r w:rsidR="00F66099" w:rsidRPr="00C91D83">
              <w:rPr>
                <w:bCs/>
              </w:rPr>
              <w:t xml:space="preserve">omercdarījumu lietas </w:t>
            </w:r>
            <w:r w:rsidR="00C47BF8" w:rsidRPr="00C91D83">
              <w:rPr>
                <w:bCs/>
              </w:rPr>
              <w:t xml:space="preserve">(tostarp Komerclikuma D </w:t>
            </w:r>
            <w:r w:rsidR="00F66099" w:rsidRPr="00C91D83">
              <w:rPr>
                <w:bCs/>
              </w:rPr>
              <w:t>daļas noteikumi);</w:t>
            </w:r>
          </w:p>
          <w:p w14:paraId="2CB4480F" w14:textId="77777777" w:rsidR="00F66099" w:rsidRPr="00C91D83" w:rsidRDefault="00B47C59" w:rsidP="001074D5">
            <w:pPr>
              <w:pStyle w:val="tv213"/>
              <w:numPr>
                <w:ilvl w:val="0"/>
                <w:numId w:val="6"/>
              </w:numPr>
              <w:spacing w:before="200" w:beforeAutospacing="0" w:after="200" w:afterAutospacing="0" w:line="276" w:lineRule="auto"/>
              <w:ind w:left="425" w:hanging="425"/>
              <w:jc w:val="both"/>
              <w:rPr>
                <w:bCs/>
              </w:rPr>
            </w:pPr>
            <w:r w:rsidRPr="00C91D83">
              <w:rPr>
                <w:bCs/>
              </w:rPr>
              <w:t>k</w:t>
            </w:r>
            <w:r w:rsidR="00623A99" w:rsidRPr="00C91D83">
              <w:rPr>
                <w:bCs/>
              </w:rPr>
              <w:t>omersantu a</w:t>
            </w:r>
            <w:r w:rsidR="00F66099" w:rsidRPr="00C91D83">
              <w:rPr>
                <w:bCs/>
              </w:rPr>
              <w:t xml:space="preserve">pdrošināšanas </w:t>
            </w:r>
            <w:r w:rsidR="00623A99" w:rsidRPr="00C91D83">
              <w:rPr>
                <w:bCs/>
              </w:rPr>
              <w:t>strīdi</w:t>
            </w:r>
            <w:r w:rsidR="00F66099" w:rsidRPr="00C91D83">
              <w:rPr>
                <w:bCs/>
              </w:rPr>
              <w:t>;</w:t>
            </w:r>
          </w:p>
          <w:p w14:paraId="1B3D439D" w14:textId="77777777" w:rsidR="00F66099" w:rsidRPr="00C91D83" w:rsidRDefault="00B47C59" w:rsidP="001074D5">
            <w:pPr>
              <w:pStyle w:val="tv213"/>
              <w:numPr>
                <w:ilvl w:val="0"/>
                <w:numId w:val="6"/>
              </w:numPr>
              <w:spacing w:before="200" w:beforeAutospacing="0" w:after="200" w:afterAutospacing="0" w:line="276" w:lineRule="auto"/>
              <w:ind w:left="425" w:hanging="425"/>
              <w:jc w:val="both"/>
              <w:rPr>
                <w:bCs/>
              </w:rPr>
            </w:pPr>
            <w:r w:rsidRPr="00C91D83">
              <w:rPr>
                <w:bCs/>
              </w:rPr>
              <w:t>p</w:t>
            </w:r>
            <w:r w:rsidR="00F66099" w:rsidRPr="00C91D83">
              <w:rPr>
                <w:bCs/>
              </w:rPr>
              <w:t>reču zīmes u.c. rūpnieciskais īpašums;</w:t>
            </w:r>
          </w:p>
          <w:p w14:paraId="1857A18C" w14:textId="77777777" w:rsidR="00F66099" w:rsidRPr="00C91D83" w:rsidRDefault="00B47C59" w:rsidP="001074D5">
            <w:pPr>
              <w:pStyle w:val="tv213"/>
              <w:numPr>
                <w:ilvl w:val="0"/>
                <w:numId w:val="6"/>
              </w:numPr>
              <w:spacing w:before="200" w:beforeAutospacing="0" w:after="200" w:afterAutospacing="0" w:line="276" w:lineRule="auto"/>
              <w:ind w:left="425" w:hanging="425"/>
              <w:jc w:val="both"/>
              <w:rPr>
                <w:bCs/>
              </w:rPr>
            </w:pPr>
            <w:r w:rsidRPr="00C91D83">
              <w:rPr>
                <w:bCs/>
              </w:rPr>
              <w:t>c</w:t>
            </w:r>
            <w:r w:rsidR="00F66099" w:rsidRPr="00C91D83">
              <w:rPr>
                <w:bCs/>
              </w:rPr>
              <w:t>iti komercstrīdi</w:t>
            </w:r>
            <w:r w:rsidR="00623A99" w:rsidRPr="00C91D83">
              <w:rPr>
                <w:bCs/>
              </w:rPr>
              <w:t xml:space="preserve"> (</w:t>
            </w:r>
            <w:r w:rsidR="00F66099" w:rsidRPr="00C91D83">
              <w:rPr>
                <w:bCs/>
              </w:rPr>
              <w:t>definējami sīkāk</w:t>
            </w:r>
            <w:r w:rsidR="00623A99" w:rsidRPr="00C91D83">
              <w:rPr>
                <w:bCs/>
              </w:rPr>
              <w:t>)</w:t>
            </w:r>
            <w:r w:rsidR="00F66099" w:rsidRPr="00C91D83">
              <w:rPr>
                <w:bCs/>
              </w:rPr>
              <w:t>.</w:t>
            </w:r>
          </w:p>
          <w:p w14:paraId="74DD4495" w14:textId="77777777" w:rsidR="00F66099" w:rsidRPr="00C91D83" w:rsidRDefault="00F66099" w:rsidP="00845E8A">
            <w:pPr>
              <w:pStyle w:val="tv213"/>
              <w:spacing w:before="200" w:beforeAutospacing="0" w:after="200" w:afterAutospacing="0" w:line="276" w:lineRule="auto"/>
              <w:jc w:val="both"/>
              <w:rPr>
                <w:bCs/>
              </w:rPr>
            </w:pPr>
            <w:r w:rsidRPr="00C91D83">
              <w:rPr>
                <w:bCs/>
              </w:rPr>
              <w:t xml:space="preserve">Komerclietu nodaļu </w:t>
            </w:r>
            <w:r w:rsidR="00623A99" w:rsidRPr="00C91D83">
              <w:rPr>
                <w:bCs/>
              </w:rPr>
              <w:t>sastāvā būtu vēlams iekļaut specializētus</w:t>
            </w:r>
            <w:r w:rsidRPr="00C91D83">
              <w:rPr>
                <w:bCs/>
              </w:rPr>
              <w:t xml:space="preserve"> </w:t>
            </w:r>
            <w:r w:rsidR="00623A99" w:rsidRPr="00C91D83">
              <w:rPr>
                <w:bCs/>
              </w:rPr>
              <w:t xml:space="preserve">tiesnešus un </w:t>
            </w:r>
            <w:r w:rsidR="00827C1F" w:rsidRPr="00C91D83">
              <w:rPr>
                <w:bCs/>
              </w:rPr>
              <w:t xml:space="preserve">tiesnešu </w:t>
            </w:r>
            <w:r w:rsidR="00623A99" w:rsidRPr="00C91D83">
              <w:rPr>
                <w:bCs/>
              </w:rPr>
              <w:t>palīgus</w:t>
            </w:r>
            <w:r w:rsidRPr="00C91D83">
              <w:rPr>
                <w:bCs/>
              </w:rPr>
              <w:t xml:space="preserve"> ar pieredzi un attiecīgu specializētu maģistra līmeņa izglītību ekonomikā un komerctiesībās, konkurences tiesībās u</w:t>
            </w:r>
            <w:r w:rsidR="00623A99" w:rsidRPr="00C91D83">
              <w:rPr>
                <w:bCs/>
              </w:rPr>
              <w:t>.tml</w:t>
            </w:r>
            <w:r w:rsidRPr="00C91D83">
              <w:rPr>
                <w:bCs/>
              </w:rPr>
              <w:t>.</w:t>
            </w:r>
            <w:r w:rsidR="00827C1F" w:rsidRPr="00C91D83">
              <w:rPr>
                <w:bCs/>
              </w:rPr>
              <w:t xml:space="preserve"> Komerclietās būtu nosakāma</w:t>
            </w:r>
            <w:r w:rsidR="00856225" w:rsidRPr="00C91D83">
              <w:rPr>
                <w:bCs/>
              </w:rPr>
              <w:t>s</w:t>
            </w:r>
            <w:r w:rsidR="00827C1F" w:rsidRPr="00C91D83">
              <w:rPr>
                <w:bCs/>
              </w:rPr>
              <w:t xml:space="preserve"> divas instances </w:t>
            </w:r>
            <w:r w:rsidR="00D7395F" w:rsidRPr="00C91D83">
              <w:rPr>
                <w:bCs/>
              </w:rPr>
              <w:t>–</w:t>
            </w:r>
            <w:r w:rsidR="00827C1F" w:rsidRPr="00C91D83">
              <w:rPr>
                <w:bCs/>
              </w:rPr>
              <w:t xml:space="preserve"> </w:t>
            </w:r>
            <w:r w:rsidR="00827C1F" w:rsidRPr="00C91D83">
              <w:rPr>
                <w:bCs/>
                <w:color w:val="000000"/>
              </w:rPr>
              <w:t>attiecīgās apgabaltiesas Komerclietu</w:t>
            </w:r>
            <w:r w:rsidR="00827C1F" w:rsidRPr="00C91D83">
              <w:rPr>
                <w:rStyle w:val="Strong"/>
                <w:color w:val="000000"/>
              </w:rPr>
              <w:t xml:space="preserve"> </w:t>
            </w:r>
            <w:r w:rsidR="00827C1F" w:rsidRPr="00C91D83">
              <w:rPr>
                <w:rStyle w:val="Strong"/>
                <w:b w:val="0"/>
                <w:color w:val="000000"/>
              </w:rPr>
              <w:t>tiesas kolēģija kā pirmās instances tiesa un</w:t>
            </w:r>
            <w:r w:rsidR="00827C1F" w:rsidRPr="00C91D83">
              <w:rPr>
                <w:rStyle w:val="Strong"/>
                <w:color w:val="000000"/>
              </w:rPr>
              <w:t xml:space="preserve"> </w:t>
            </w:r>
            <w:r w:rsidR="00827C1F" w:rsidRPr="00C91D83">
              <w:rPr>
                <w:bCs/>
                <w:color w:val="000000"/>
              </w:rPr>
              <w:t>Augstākās tiesas (Senāta) Komerclietu departaments kā kasācijas tiesa.</w:t>
            </w:r>
            <w:r w:rsidR="00856225" w:rsidRPr="00C91D83">
              <w:rPr>
                <w:bCs/>
                <w:color w:val="000000"/>
              </w:rPr>
              <w:t xml:space="preserve"> </w:t>
            </w:r>
            <w:r w:rsidRPr="00C91D83">
              <w:rPr>
                <w:bCs/>
              </w:rPr>
              <w:t>Komercprocess</w:t>
            </w:r>
            <w:r w:rsidR="0060263F" w:rsidRPr="00C91D83">
              <w:rPr>
                <w:bCs/>
              </w:rPr>
              <w:t xml:space="preserve"> nozīmētu</w:t>
            </w:r>
            <w:r w:rsidRPr="00C91D83">
              <w:rPr>
                <w:bCs/>
              </w:rPr>
              <w:t xml:space="preserve"> </w:t>
            </w:r>
            <w:r w:rsidR="0060263F" w:rsidRPr="00C91D83">
              <w:rPr>
                <w:bCs/>
              </w:rPr>
              <w:t>paātrinātu</w:t>
            </w:r>
            <w:r w:rsidRPr="00C91D83">
              <w:rPr>
                <w:bCs/>
              </w:rPr>
              <w:t xml:space="preserve"> komerclietu iztiesāšanas kārtīb</w:t>
            </w:r>
            <w:r w:rsidR="0060263F" w:rsidRPr="00C91D83">
              <w:rPr>
                <w:bCs/>
              </w:rPr>
              <w:t>u</w:t>
            </w:r>
            <w:r w:rsidRPr="00C91D83">
              <w:rPr>
                <w:bCs/>
              </w:rPr>
              <w:t xml:space="preserve">, </w:t>
            </w:r>
            <w:r w:rsidR="0060263F" w:rsidRPr="00C91D83">
              <w:rPr>
                <w:bCs/>
              </w:rPr>
              <w:t>saistībā arī</w:t>
            </w:r>
            <w:r w:rsidRPr="00C91D83">
              <w:rPr>
                <w:bCs/>
              </w:rPr>
              <w:t xml:space="preserve"> ar tiesnešu specializāciju </w:t>
            </w:r>
            <w:r w:rsidR="0060263F" w:rsidRPr="00C91D83">
              <w:rPr>
                <w:bCs/>
              </w:rPr>
              <w:t xml:space="preserve">nodrošinot </w:t>
            </w:r>
            <w:r w:rsidRPr="00C91D83">
              <w:rPr>
                <w:bCs/>
              </w:rPr>
              <w:t>lielāk</w:t>
            </w:r>
            <w:r w:rsidR="0060263F" w:rsidRPr="00C91D83">
              <w:rPr>
                <w:bCs/>
              </w:rPr>
              <w:t>u</w:t>
            </w:r>
            <w:r w:rsidRPr="00C91D83">
              <w:rPr>
                <w:bCs/>
              </w:rPr>
              <w:t xml:space="preserve"> kvalitāt</w:t>
            </w:r>
            <w:r w:rsidR="0060263F" w:rsidRPr="00C91D83">
              <w:rPr>
                <w:bCs/>
              </w:rPr>
              <w:t>i</w:t>
            </w:r>
            <w:r w:rsidRPr="00C91D83">
              <w:rPr>
                <w:bCs/>
              </w:rPr>
              <w:t xml:space="preserve"> un efektivitāt</w:t>
            </w:r>
            <w:r w:rsidR="0060263F" w:rsidRPr="00C91D83">
              <w:rPr>
                <w:bCs/>
              </w:rPr>
              <w:t>i</w:t>
            </w:r>
            <w:r w:rsidRPr="00C91D83">
              <w:rPr>
                <w:bCs/>
              </w:rPr>
              <w:t xml:space="preserve">, kā arī </w:t>
            </w:r>
            <w:r w:rsidR="0060263F" w:rsidRPr="00C91D83">
              <w:rPr>
                <w:bCs/>
              </w:rPr>
              <w:t xml:space="preserve">veicinot </w:t>
            </w:r>
            <w:r w:rsidRPr="00C91D83">
              <w:rPr>
                <w:bCs/>
              </w:rPr>
              <w:t>paredzamīb</w:t>
            </w:r>
            <w:r w:rsidR="0060263F" w:rsidRPr="00C91D83">
              <w:rPr>
                <w:bCs/>
              </w:rPr>
              <w:t>u</w:t>
            </w:r>
            <w:r w:rsidRPr="00C91D83">
              <w:rPr>
                <w:bCs/>
              </w:rPr>
              <w:t>,</w:t>
            </w:r>
            <w:r w:rsidR="0060263F" w:rsidRPr="00C91D83">
              <w:rPr>
                <w:bCs/>
              </w:rPr>
              <w:t xml:space="preserve"> nodrošinot</w:t>
            </w:r>
            <w:r w:rsidRPr="00C91D83">
              <w:rPr>
                <w:bCs/>
              </w:rPr>
              <w:t xml:space="preserve"> vienota</w:t>
            </w:r>
            <w:r w:rsidR="0060263F" w:rsidRPr="00C91D83">
              <w:rPr>
                <w:bCs/>
              </w:rPr>
              <w:t>s</w:t>
            </w:r>
            <w:r w:rsidRPr="00C91D83">
              <w:rPr>
                <w:bCs/>
              </w:rPr>
              <w:t xml:space="preserve"> tiesu prakse</w:t>
            </w:r>
            <w:r w:rsidR="0060263F" w:rsidRPr="00C91D83">
              <w:rPr>
                <w:bCs/>
              </w:rPr>
              <w:t>s veidošanos. Komercprocesā būtu ietverami</w:t>
            </w:r>
            <w:r w:rsidRPr="00C91D83">
              <w:rPr>
                <w:bCs/>
              </w:rPr>
              <w:t xml:space="preserve"> mūsdienīgi un efektīvi, kā arī komercdarbības videi piemēroti prasības nodrošināšanas instrumenti, adekvāti juridiskās palīdzības izdevumu kompensēšanas mehānismi u</w:t>
            </w:r>
            <w:r w:rsidR="0060263F" w:rsidRPr="00C91D83">
              <w:rPr>
                <w:bCs/>
              </w:rPr>
              <w:t>.tml</w:t>
            </w:r>
            <w:r w:rsidRPr="00C91D83">
              <w:rPr>
                <w:bCs/>
              </w:rPr>
              <w:t>.</w:t>
            </w:r>
          </w:p>
          <w:p w14:paraId="679D0854" w14:textId="77777777" w:rsidR="00827C1F" w:rsidRPr="00C91D83" w:rsidRDefault="00944948" w:rsidP="00845E8A">
            <w:pPr>
              <w:pStyle w:val="tv213"/>
              <w:spacing w:before="200" w:beforeAutospacing="0" w:after="200" w:afterAutospacing="0" w:line="276" w:lineRule="auto"/>
              <w:jc w:val="both"/>
              <w:rPr>
                <w:bCs/>
              </w:rPr>
            </w:pPr>
            <w:r w:rsidRPr="00C91D83">
              <w:rPr>
                <w:bCs/>
              </w:rPr>
              <w:t>Ā</w:t>
            </w:r>
            <w:r w:rsidR="00F66099" w:rsidRPr="00C91D83">
              <w:rPr>
                <w:bCs/>
              </w:rPr>
              <w:t>trāka un kvalitatīvāka komerclietu iztiesāšanas kārtība attaisno</w:t>
            </w:r>
            <w:r w:rsidRPr="00C91D83">
              <w:rPr>
                <w:bCs/>
              </w:rPr>
              <w:t>tu arī</w:t>
            </w:r>
            <w:r w:rsidR="00F66099" w:rsidRPr="00C91D83">
              <w:rPr>
                <w:bCs/>
              </w:rPr>
              <w:t xml:space="preserve"> paaugstinātas valsts nodevas</w:t>
            </w:r>
            <w:r w:rsidRPr="00C91D83">
              <w:rPr>
                <w:bCs/>
              </w:rPr>
              <w:t xml:space="preserve"> ieviešanu</w:t>
            </w:r>
            <w:r w:rsidR="00F66099" w:rsidRPr="00C91D83">
              <w:rPr>
                <w:bCs/>
              </w:rPr>
              <w:t xml:space="preserve">, no kā </w:t>
            </w:r>
            <w:r w:rsidRPr="00C91D83">
              <w:rPr>
                <w:bCs/>
              </w:rPr>
              <w:t xml:space="preserve">varētu </w:t>
            </w:r>
            <w:r w:rsidR="00F66099" w:rsidRPr="00C91D83">
              <w:rPr>
                <w:bCs/>
              </w:rPr>
              <w:t xml:space="preserve">finansēt komerclietu nodaļu darbību. Tāpat kvalitatīva, ātra un efektīva komersantu tiesiskā aizsardzība no komerclietu nodaļu puses nodrošinās pašmāju un ārvalstu investīciju pieplūdumu Latvijas ekonomikā, kā rezultāts būs ekonomikas izaugsme un lielāki nodokļu ieņēmumi, kuru daļa var tikt novirzīta </w:t>
            </w:r>
            <w:r w:rsidR="009B1097" w:rsidRPr="00C91D83">
              <w:rPr>
                <w:bCs/>
              </w:rPr>
              <w:t>komerclietu nodaļu uzturēšanai.</w:t>
            </w:r>
          </w:p>
          <w:p w14:paraId="0E5576A1" w14:textId="77777777" w:rsidR="00F66099" w:rsidRPr="00C91D83" w:rsidRDefault="00A03493" w:rsidP="00845E8A">
            <w:pPr>
              <w:pStyle w:val="tv213"/>
              <w:numPr>
                <w:ilvl w:val="2"/>
                <w:numId w:val="8"/>
              </w:numPr>
              <w:spacing w:before="200" w:beforeAutospacing="0" w:after="200" w:afterAutospacing="0" w:line="276" w:lineRule="auto"/>
              <w:ind w:left="601" w:hanging="601"/>
              <w:rPr>
                <w:b/>
                <w:bCs/>
              </w:rPr>
            </w:pPr>
            <w:bookmarkStart w:id="7" w:name="_Ref387305855"/>
            <w:r w:rsidRPr="00C91D83">
              <w:rPr>
                <w:b/>
                <w:bCs/>
              </w:rPr>
              <w:t>Advokātu process civilprocesā pirmās un otrās instances tiesās kopsakarā ar nosacījumu uzņemšanai advokatūrā grozījumiem</w:t>
            </w:r>
            <w:bookmarkEnd w:id="7"/>
          </w:p>
          <w:p w14:paraId="7FB4B87B" w14:textId="77777777" w:rsidR="00293619" w:rsidRPr="00293619" w:rsidRDefault="00F66099" w:rsidP="00845E8A">
            <w:pPr>
              <w:pStyle w:val="tv213"/>
              <w:spacing w:before="200" w:beforeAutospacing="0" w:after="200" w:afterAutospacing="0" w:line="276" w:lineRule="auto"/>
              <w:jc w:val="both"/>
              <w:rPr>
                <w:bCs/>
              </w:rPr>
            </w:pPr>
            <w:r w:rsidRPr="00C91D83">
              <w:rPr>
                <w:bCs/>
              </w:rPr>
              <w:t>Nenoliedzami</w:t>
            </w:r>
            <w:r w:rsidR="0054404A" w:rsidRPr="00C91D83">
              <w:rPr>
                <w:bCs/>
              </w:rPr>
              <w:t>,</w:t>
            </w:r>
            <w:r w:rsidRPr="00C91D83">
              <w:rPr>
                <w:bCs/>
              </w:rPr>
              <w:t xml:space="preserve"> advokātu procesa ieviešana civilprocesā arī pirmās un otrās instances tiesās atvieglotu un paātrinātu tiesu darbu, tādējādi veicinot kopējo Latvijas tiesu nodrošinātās privātpersonu un komersantu tiesību aizsardzības efektivitāti, kam būtu labvēlīgs iespaids uz komercdarbības vidi un ārvalstu investīciju apjomu. Tomēr šāda monopolstāvokļa piešķiršana Latvijas advokatūrai arī sadārdzinās tiesvedību Latvijas tiesās un ievērojami apgrūtinās pieeju tiesu aizsardzībai atsevišķās tiesību disciplīnās, kā, piemēram, Eiropas Savienības tiesīb</w:t>
            </w:r>
            <w:r w:rsidR="00D07F0C" w:rsidRPr="00C91D83">
              <w:rPr>
                <w:bCs/>
              </w:rPr>
              <w:t>ā</w:t>
            </w:r>
            <w:r w:rsidRPr="00C91D83">
              <w:rPr>
                <w:bCs/>
              </w:rPr>
              <w:t xml:space="preserve">s, banku un </w:t>
            </w:r>
            <w:r w:rsidRPr="00293619">
              <w:rPr>
                <w:bCs/>
              </w:rPr>
              <w:t>finanšu tiesīb</w:t>
            </w:r>
            <w:r w:rsidR="00D07F0C" w:rsidRPr="00293619">
              <w:rPr>
                <w:bCs/>
              </w:rPr>
              <w:t>ā</w:t>
            </w:r>
            <w:r w:rsidRPr="00293619">
              <w:rPr>
                <w:bCs/>
              </w:rPr>
              <w:t>s, M&amp;A darījum</w:t>
            </w:r>
            <w:r w:rsidR="00D07F0C" w:rsidRPr="00293619">
              <w:rPr>
                <w:bCs/>
              </w:rPr>
              <w:t>os</w:t>
            </w:r>
            <w:r w:rsidRPr="00293619">
              <w:rPr>
                <w:bCs/>
              </w:rPr>
              <w:t>, konkurences tiesīb</w:t>
            </w:r>
            <w:r w:rsidR="00D07F0C" w:rsidRPr="00293619">
              <w:rPr>
                <w:bCs/>
              </w:rPr>
              <w:t>ā</w:t>
            </w:r>
            <w:r w:rsidRPr="00293619">
              <w:rPr>
                <w:bCs/>
              </w:rPr>
              <w:t>s, starptautisk</w:t>
            </w:r>
            <w:r w:rsidR="00D07F0C" w:rsidRPr="00293619">
              <w:rPr>
                <w:bCs/>
              </w:rPr>
              <w:t>ajā tirdzniecībā</w:t>
            </w:r>
            <w:r w:rsidRPr="00293619">
              <w:rPr>
                <w:bCs/>
              </w:rPr>
              <w:t xml:space="preserve"> un daudzās citās, kurās kompetentu Latvijas advokatūras locekļu skaits ir pārāk mazs, lai advokātu process šajās</w:t>
            </w:r>
            <w:r w:rsidR="00D07F0C" w:rsidRPr="00293619">
              <w:rPr>
                <w:bCs/>
              </w:rPr>
              <w:t xml:space="preserve"> disciplīnās būtu attaisnojams.</w:t>
            </w:r>
            <w:r w:rsidR="00293619" w:rsidRPr="00293619">
              <w:rPr>
                <w:color w:val="000000"/>
              </w:rPr>
              <w:t xml:space="preserve"> Izņēmumu no advokātu procesa </w:t>
            </w:r>
            <w:r w:rsidR="007C12FC">
              <w:rPr>
                <w:color w:val="000000"/>
              </w:rPr>
              <w:t>ir</w:t>
            </w:r>
            <w:r w:rsidR="00293619" w:rsidRPr="00293619">
              <w:rPr>
                <w:color w:val="000000"/>
              </w:rPr>
              <w:t xml:space="preserve"> pamatoti piemērot uzņēmumu</w:t>
            </w:r>
            <w:r w:rsidR="008D10C5">
              <w:rPr>
                <w:color w:val="000000"/>
              </w:rPr>
              <w:t>, iestāžu un organizāciju</w:t>
            </w:r>
            <w:r w:rsidR="00293619" w:rsidRPr="00293619">
              <w:rPr>
                <w:color w:val="000000"/>
              </w:rPr>
              <w:t xml:space="preserve"> iekšējo juridisko dienestu pārstāvjiem,</w:t>
            </w:r>
            <w:r w:rsidR="008D10C5">
              <w:rPr>
                <w:color w:val="000000"/>
              </w:rPr>
              <w:t xml:space="preserve"> kuri nodarbināti </w:t>
            </w:r>
            <w:r w:rsidR="00293619" w:rsidRPr="00293619">
              <w:rPr>
                <w:color w:val="000000"/>
              </w:rPr>
              <w:t>uz darba līguma pamata, proti, attiecīgajiem speciālistiem arī jānodrošina iespēja pārstāvēt uzņēmumu</w:t>
            </w:r>
            <w:r w:rsidR="008D10C5">
              <w:rPr>
                <w:color w:val="000000"/>
              </w:rPr>
              <w:t>, iestādi vai organizāciju</w:t>
            </w:r>
            <w:r w:rsidR="00293619" w:rsidRPr="00293619">
              <w:rPr>
                <w:color w:val="000000"/>
              </w:rPr>
              <w:t xml:space="preserve"> tiesās.</w:t>
            </w:r>
          </w:p>
          <w:p w14:paraId="53163726" w14:textId="77777777" w:rsidR="00F66099" w:rsidRPr="00C91D83" w:rsidRDefault="00F66099" w:rsidP="00845E8A">
            <w:pPr>
              <w:pStyle w:val="tv213"/>
              <w:spacing w:before="200" w:beforeAutospacing="0" w:after="200" w:afterAutospacing="0" w:line="276" w:lineRule="auto"/>
              <w:jc w:val="both"/>
              <w:rPr>
                <w:bCs/>
              </w:rPr>
            </w:pPr>
            <w:r w:rsidRPr="00C91D83">
              <w:rPr>
                <w:bCs/>
              </w:rPr>
              <w:t xml:space="preserve">2014.gada sākumā kopējais zvērinātu advokātu un viņu palīgu skaits Latvijā bija </w:t>
            </w:r>
            <w:r w:rsidRPr="00C91D83">
              <w:t>1253, kas ietver arī 110 advokātus, kuru darbība ir apturēta vai kas ir atstādināti no savu pienākumu izpildīšanas</w:t>
            </w:r>
            <w:r w:rsidRPr="00C91D83">
              <w:rPr>
                <w:bCs/>
              </w:rPr>
              <w:t>.</w:t>
            </w:r>
            <w:r w:rsidRPr="00C91D83">
              <w:rPr>
                <w:bCs/>
                <w:kern w:val="36"/>
              </w:rPr>
              <w:t xml:space="preserve"> </w:t>
            </w:r>
            <w:r w:rsidRPr="00C91D83">
              <w:t>Bez tam profesionālai darbībai kolēģijā ar savas mītnes valsts profesijas nosaukumu reģistrēti 11</w:t>
            </w:r>
            <w:r w:rsidR="00DA68A6" w:rsidRPr="00C91D83">
              <w:t> </w:t>
            </w:r>
            <w:r w:rsidRPr="00C91D83">
              <w:t xml:space="preserve">Eiropas Savienības valstu advokāti un </w:t>
            </w:r>
            <w:r w:rsidR="00CF1B4F" w:rsidRPr="00C91D83">
              <w:t>divi</w:t>
            </w:r>
            <w:r w:rsidRPr="00C91D83">
              <w:t xml:space="preserve"> Šveices Konfederācijas advokāti, kā arī </w:t>
            </w:r>
            <w:r w:rsidR="00F23DB3" w:rsidRPr="00C91D83">
              <w:t>viens</w:t>
            </w:r>
            <w:r w:rsidRPr="00C91D83">
              <w:t xml:space="preserve"> Eiropas Savienības dalībvalsts advokāts, kura profesionālā kvalifikācija atzīta par atbilstošu </w:t>
            </w:r>
            <w:r w:rsidRPr="00C91D83">
              <w:lastRenderedPageBreak/>
              <w:t>pastāvīgai darbībai Latvijā.</w:t>
            </w:r>
            <w:r w:rsidRPr="00C91D83">
              <w:rPr>
                <w:rStyle w:val="FootnoteReference"/>
              </w:rPr>
              <w:footnoteReference w:id="25"/>
            </w:r>
          </w:p>
          <w:p w14:paraId="164E9F5F" w14:textId="77777777" w:rsidR="00E86ED1" w:rsidRPr="00C91D83" w:rsidRDefault="00F66099" w:rsidP="00845E8A">
            <w:pPr>
              <w:spacing w:before="200" w:after="200" w:line="276" w:lineRule="auto"/>
              <w:jc w:val="both"/>
              <w:outlineLvl w:val="0"/>
              <w:rPr>
                <w:bCs/>
                <w:sz w:val="24"/>
                <w:szCs w:val="24"/>
                <w:lang w:val="lv-LV"/>
              </w:rPr>
            </w:pPr>
            <w:r w:rsidRPr="00C91D83">
              <w:rPr>
                <w:bCs/>
                <w:sz w:val="24"/>
                <w:szCs w:val="24"/>
                <w:lang w:val="lv-LV"/>
              </w:rPr>
              <w:t>Lai gan pati Latvijas advokatūra un Augstāka tiesā aktīvi atbalsta advokātu procesa ieviešanu civilprocesā arī pirmās un otrās instances tiesās, tomēr netiek ņemts vērā tas, ka nosacījumi jaunu juristu iekļūšanai advokatūrā ir pēdējā laikā padarīti ļoti stingri, kā rezultātā, piemēram, krasi samaz</w:t>
            </w:r>
            <w:r w:rsidR="00DA68A6" w:rsidRPr="00C91D83">
              <w:rPr>
                <w:bCs/>
                <w:sz w:val="24"/>
                <w:szCs w:val="24"/>
                <w:lang w:val="lv-LV"/>
              </w:rPr>
              <w:t>inājies advokātu palīgu skaits.</w:t>
            </w:r>
          </w:p>
          <w:p w14:paraId="6144CEEF" w14:textId="77777777" w:rsidR="00F66099" w:rsidRPr="00C91D83" w:rsidRDefault="00F66099" w:rsidP="00845E8A">
            <w:pPr>
              <w:spacing w:before="200" w:after="200" w:line="276" w:lineRule="auto"/>
              <w:jc w:val="both"/>
              <w:outlineLvl w:val="0"/>
              <w:rPr>
                <w:bCs/>
                <w:sz w:val="24"/>
                <w:szCs w:val="24"/>
                <w:lang w:val="lv-LV"/>
              </w:rPr>
            </w:pPr>
            <w:r w:rsidRPr="00C91D83">
              <w:rPr>
                <w:bCs/>
                <w:sz w:val="24"/>
                <w:szCs w:val="24"/>
                <w:lang w:val="lv-LV"/>
              </w:rPr>
              <w:t xml:space="preserve">2010.gada 28.oktobra Advokatūras likuma grozījumi paredz virkni noteikumus (piemēram, prasība, ka zvērināta advokāta kandidātam jābūt strādājušam tiesneša amatā vismaz 3 gadus), </w:t>
            </w:r>
            <w:r w:rsidR="00477213" w:rsidRPr="00C91D83">
              <w:rPr>
                <w:bCs/>
                <w:sz w:val="24"/>
                <w:szCs w:val="24"/>
                <w:lang w:val="lv-LV"/>
              </w:rPr>
              <w:t>kuru</w:t>
            </w:r>
            <w:r w:rsidR="00856225" w:rsidRPr="00C91D83">
              <w:rPr>
                <w:bCs/>
                <w:sz w:val="24"/>
                <w:szCs w:val="24"/>
                <w:lang w:val="lv-LV"/>
              </w:rPr>
              <w:t xml:space="preserve"> vajadzība ir diskutējama, bet kuru</w:t>
            </w:r>
            <w:r w:rsidR="00477213" w:rsidRPr="00C91D83">
              <w:rPr>
                <w:bCs/>
                <w:sz w:val="24"/>
                <w:szCs w:val="24"/>
                <w:lang w:val="lv-LV"/>
              </w:rPr>
              <w:t xml:space="preserve"> rezultāts ir</w:t>
            </w:r>
            <w:r w:rsidRPr="00C91D83">
              <w:rPr>
                <w:bCs/>
                <w:sz w:val="24"/>
                <w:szCs w:val="24"/>
                <w:lang w:val="lv-LV"/>
              </w:rPr>
              <w:t xml:space="preserve"> jaunu zvērinātu advokātu un </w:t>
            </w:r>
            <w:r w:rsidR="00477213" w:rsidRPr="00C91D83">
              <w:rPr>
                <w:bCs/>
                <w:sz w:val="24"/>
                <w:szCs w:val="24"/>
                <w:lang w:val="lv-LV"/>
              </w:rPr>
              <w:t>advokātu</w:t>
            </w:r>
            <w:r w:rsidRPr="00C91D83">
              <w:rPr>
                <w:bCs/>
                <w:sz w:val="24"/>
                <w:szCs w:val="24"/>
                <w:lang w:val="lv-LV"/>
              </w:rPr>
              <w:t xml:space="preserve"> palīgu skaita ievērojam</w:t>
            </w:r>
            <w:r w:rsidR="00477213" w:rsidRPr="00C91D83">
              <w:rPr>
                <w:bCs/>
                <w:sz w:val="24"/>
                <w:szCs w:val="24"/>
                <w:lang w:val="lv-LV"/>
              </w:rPr>
              <w:t>a</w:t>
            </w:r>
            <w:r w:rsidRPr="00C91D83">
              <w:rPr>
                <w:bCs/>
                <w:sz w:val="24"/>
                <w:szCs w:val="24"/>
                <w:lang w:val="lv-LV"/>
              </w:rPr>
              <w:t xml:space="preserve"> samazināšan</w:t>
            </w:r>
            <w:r w:rsidR="00477213" w:rsidRPr="00C91D83">
              <w:rPr>
                <w:bCs/>
                <w:sz w:val="24"/>
                <w:szCs w:val="24"/>
                <w:lang w:val="lv-LV"/>
              </w:rPr>
              <w:t>ās</w:t>
            </w:r>
            <w:r w:rsidRPr="00C91D83">
              <w:rPr>
                <w:bCs/>
                <w:sz w:val="24"/>
                <w:szCs w:val="24"/>
                <w:lang w:val="lv-LV"/>
              </w:rPr>
              <w:t xml:space="preserve">. </w:t>
            </w:r>
            <w:r w:rsidR="00477213" w:rsidRPr="00C91D83">
              <w:rPr>
                <w:bCs/>
                <w:sz w:val="24"/>
                <w:szCs w:val="24"/>
                <w:lang w:val="lv-LV"/>
              </w:rPr>
              <w:t>Ir</w:t>
            </w:r>
            <w:r w:rsidRPr="00C91D83">
              <w:rPr>
                <w:bCs/>
                <w:sz w:val="24"/>
                <w:szCs w:val="24"/>
                <w:lang w:val="lv-LV"/>
              </w:rPr>
              <w:t xml:space="preserve"> strauji krities zvērinātu advokātu palīgu skaits un praksē jaunu juristu iekļūšana advokatūrā ir ievērojami apgrūtināta. Arī advokatūras ieviestā advokātu apmācības programma </w:t>
            </w:r>
            <w:r w:rsidR="00E86ED1" w:rsidRPr="00C91D83">
              <w:rPr>
                <w:bCs/>
                <w:sz w:val="24"/>
                <w:szCs w:val="24"/>
                <w:lang w:val="lv-LV"/>
              </w:rPr>
              <w:t>būtu būtiski pilnveidojama, jo sevišķi</w:t>
            </w:r>
            <w:r w:rsidRPr="00C91D83">
              <w:rPr>
                <w:bCs/>
                <w:sz w:val="24"/>
                <w:szCs w:val="24"/>
                <w:lang w:val="lv-LV"/>
              </w:rPr>
              <w:t xml:space="preserve"> jomās, kur advokātu</w:t>
            </w:r>
            <w:r w:rsidR="007010ED" w:rsidRPr="00C91D83">
              <w:rPr>
                <w:bCs/>
                <w:sz w:val="24"/>
                <w:szCs w:val="24"/>
                <w:lang w:val="lv-LV"/>
              </w:rPr>
              <w:t xml:space="preserve">, </w:t>
            </w:r>
            <w:r w:rsidRPr="00C91D83">
              <w:rPr>
                <w:bCs/>
                <w:sz w:val="24"/>
                <w:szCs w:val="24"/>
                <w:lang w:val="lv-LV"/>
              </w:rPr>
              <w:t>kompetentu speciālistu</w:t>
            </w:r>
            <w:r w:rsidR="007010ED" w:rsidRPr="00C91D83">
              <w:rPr>
                <w:bCs/>
                <w:sz w:val="24"/>
                <w:szCs w:val="24"/>
                <w:lang w:val="lv-LV"/>
              </w:rPr>
              <w:t>,</w:t>
            </w:r>
            <w:r w:rsidRPr="00C91D83">
              <w:rPr>
                <w:bCs/>
                <w:sz w:val="24"/>
                <w:szCs w:val="24"/>
                <w:lang w:val="lv-LV"/>
              </w:rPr>
              <w:t xml:space="preserve"> skaits ir neliels pret jau tā nelielo kopējo advokātu skaitu Latvijā.</w:t>
            </w:r>
          </w:p>
          <w:p w14:paraId="27C39558" w14:textId="77777777" w:rsidR="00F66099" w:rsidRPr="00C91D83" w:rsidRDefault="00F66099" w:rsidP="00845E8A">
            <w:pPr>
              <w:pStyle w:val="tv213"/>
              <w:spacing w:before="200" w:beforeAutospacing="0" w:after="200" w:afterAutospacing="0" w:line="276" w:lineRule="auto"/>
              <w:jc w:val="both"/>
              <w:rPr>
                <w:bCs/>
              </w:rPr>
            </w:pPr>
            <w:r w:rsidRPr="00C91D83">
              <w:rPr>
                <w:bCs/>
              </w:rPr>
              <w:t xml:space="preserve">Līdz ar to </w:t>
            </w:r>
            <w:r w:rsidRPr="00C91D83">
              <w:rPr>
                <w:color w:val="000000"/>
              </w:rPr>
              <w:t xml:space="preserve">ĀIPL uzskata, </w:t>
            </w:r>
            <w:r w:rsidR="00856225" w:rsidRPr="00C91D83">
              <w:rPr>
                <w:color w:val="000000"/>
              </w:rPr>
              <w:t>ka</w:t>
            </w:r>
            <w:r w:rsidR="00C373A1" w:rsidRPr="00C91D83">
              <w:rPr>
                <w:color w:val="000000"/>
              </w:rPr>
              <w:t>,</w:t>
            </w:r>
            <w:r w:rsidR="00856225" w:rsidRPr="00C91D83">
              <w:rPr>
                <w:color w:val="000000"/>
              </w:rPr>
              <w:t xml:space="preserve"> ja </w:t>
            </w:r>
            <w:r w:rsidRPr="00C91D83">
              <w:rPr>
                <w:bCs/>
              </w:rPr>
              <w:t xml:space="preserve">advokātu process civilprocesā </w:t>
            </w:r>
            <w:r w:rsidR="00856225" w:rsidRPr="00C91D83">
              <w:rPr>
                <w:bCs/>
              </w:rPr>
              <w:t>tiek ieviests</w:t>
            </w:r>
            <w:r w:rsidRPr="00C91D83">
              <w:rPr>
                <w:bCs/>
              </w:rPr>
              <w:t xml:space="preserve"> arī pirmās un otrās instances tiesās, vienlaicīgi</w:t>
            </w:r>
            <w:r w:rsidR="00E86ED1" w:rsidRPr="00C91D83">
              <w:rPr>
                <w:bCs/>
              </w:rPr>
              <w:t xml:space="preserve"> </w:t>
            </w:r>
            <w:r w:rsidR="00C373A1" w:rsidRPr="00C91D83">
              <w:rPr>
                <w:bCs/>
              </w:rPr>
              <w:t>būtu jānodrošina</w:t>
            </w:r>
            <w:r w:rsidR="00E86ED1" w:rsidRPr="00C91D83">
              <w:rPr>
                <w:bCs/>
              </w:rPr>
              <w:t xml:space="preserve"> būtiski </w:t>
            </w:r>
            <w:r w:rsidRPr="00C91D83">
              <w:rPr>
                <w:bCs/>
              </w:rPr>
              <w:t>atvieglo</w:t>
            </w:r>
            <w:r w:rsidR="00E86ED1" w:rsidRPr="00C91D83">
              <w:rPr>
                <w:bCs/>
              </w:rPr>
              <w:t>ta</w:t>
            </w:r>
            <w:r w:rsidRPr="00C91D83">
              <w:rPr>
                <w:bCs/>
              </w:rPr>
              <w:t xml:space="preserve"> juristu, tostarp jauno juristu</w:t>
            </w:r>
            <w:r w:rsidR="000578DC" w:rsidRPr="00C91D83">
              <w:rPr>
                <w:bCs/>
              </w:rPr>
              <w:t>,</w:t>
            </w:r>
            <w:r w:rsidRPr="00C91D83">
              <w:rPr>
                <w:bCs/>
              </w:rPr>
              <w:t xml:space="preserve"> iekļūšana advokatūrā. Tas</w:t>
            </w:r>
            <w:r w:rsidR="00C373A1" w:rsidRPr="00C91D83">
              <w:rPr>
                <w:bCs/>
              </w:rPr>
              <w:t xml:space="preserve"> varētu būt</w:t>
            </w:r>
            <w:r w:rsidRPr="00C91D83">
              <w:rPr>
                <w:bCs/>
              </w:rPr>
              <w:t xml:space="preserve"> darāms, pirmkārt, atceļot 2010.gada 28.oktobra Advokatūras likuma grozījumus, kas vērsti uz jaunu zvērinātu advokātu un viņu palīgu skaita samazinājumu (tostarp grozījumi Advokatūras likuma 14., 41.</w:t>
            </w:r>
            <w:r w:rsidRPr="00C91D83">
              <w:rPr>
                <w:bCs/>
                <w:vertAlign w:val="superscript"/>
              </w:rPr>
              <w:t>3</w:t>
            </w:r>
            <w:r w:rsidRPr="00C91D83">
              <w:rPr>
                <w:bCs/>
              </w:rPr>
              <w:t>, 84., 85., 94., 95., 96., 101.</w:t>
            </w:r>
            <w:r w:rsidR="00A21F12" w:rsidRPr="00C91D83">
              <w:rPr>
                <w:bCs/>
              </w:rPr>
              <w:t>pantos</w:t>
            </w:r>
            <w:r w:rsidRPr="00C91D83">
              <w:rPr>
                <w:bCs/>
              </w:rPr>
              <w:t>). Otrkārt, lai nodrošinātu advokātu skaita pieaugumu un kompetenci augstākminētajās jomās, kur speciālistu skaits ir neliels,</w:t>
            </w:r>
            <w:r w:rsidR="00C373A1" w:rsidRPr="00C91D83">
              <w:rPr>
                <w:bCs/>
              </w:rPr>
              <w:t xml:space="preserve"> būtu apsverama iespēja samazināt</w:t>
            </w:r>
            <w:r w:rsidRPr="00C91D83">
              <w:rPr>
                <w:bCs/>
              </w:rPr>
              <w:t xml:space="preserve"> arī līdz minēto grozījumu spēkā stāšanās dienai pastāvējušās Advokatūras likuma prasības jaunu juristu </w:t>
            </w:r>
            <w:r w:rsidR="00C373A1" w:rsidRPr="00C91D83">
              <w:rPr>
                <w:bCs/>
              </w:rPr>
              <w:t>uzņemšanai</w:t>
            </w:r>
            <w:r w:rsidRPr="00C91D83">
              <w:rPr>
                <w:bCs/>
              </w:rPr>
              <w:t xml:space="preserve"> advokatūrā.</w:t>
            </w:r>
          </w:p>
          <w:p w14:paraId="154527BD" w14:textId="77777777" w:rsidR="002A3923" w:rsidRPr="00C91D83" w:rsidRDefault="005F7B0F" w:rsidP="002A3923">
            <w:pPr>
              <w:pStyle w:val="tv213"/>
              <w:numPr>
                <w:ilvl w:val="2"/>
                <w:numId w:val="8"/>
              </w:numPr>
              <w:spacing w:before="200" w:beforeAutospacing="0" w:after="200" w:afterAutospacing="0" w:line="276" w:lineRule="auto"/>
              <w:ind w:left="601" w:hanging="601"/>
              <w:rPr>
                <w:b/>
                <w:bCs/>
              </w:rPr>
            </w:pPr>
            <w:r w:rsidRPr="005F7B0F">
              <w:rPr>
                <w:b/>
                <w:bCs/>
              </w:rPr>
              <w:t>Nepieciešamība pilnveidot „Šķīrējtiesu likum</w:t>
            </w:r>
            <w:r>
              <w:rPr>
                <w:b/>
                <w:bCs/>
              </w:rPr>
              <w:t>a</w:t>
            </w:r>
            <w:r w:rsidRPr="005F7B0F">
              <w:rPr>
                <w:b/>
                <w:bCs/>
              </w:rPr>
              <w:t>” likumprojektu saistībā ar prasījuma cedēšanas tiesiskajām sekā</w:t>
            </w:r>
            <w:r w:rsidR="00B54072">
              <w:rPr>
                <w:b/>
                <w:bCs/>
              </w:rPr>
              <w:t>m</w:t>
            </w:r>
            <w:r w:rsidRPr="005F7B0F">
              <w:rPr>
                <w:b/>
                <w:bCs/>
              </w:rPr>
              <w:t xml:space="preserve"> attiecībā uz</w:t>
            </w:r>
            <w:r w:rsidR="002A3923" w:rsidRPr="005F7B0F">
              <w:rPr>
                <w:b/>
                <w:bCs/>
              </w:rPr>
              <w:t xml:space="preserve"> </w:t>
            </w:r>
            <w:r w:rsidRPr="005F7B0F">
              <w:rPr>
                <w:b/>
                <w:bCs/>
              </w:rPr>
              <w:t>šķīrējtiesas klauzulu, kā arī</w:t>
            </w:r>
            <w:r w:rsidR="002A3923" w:rsidRPr="005F7B0F">
              <w:rPr>
                <w:b/>
                <w:bCs/>
              </w:rPr>
              <w:t xml:space="preserve"> </w:t>
            </w:r>
            <w:r>
              <w:rPr>
                <w:b/>
                <w:bCs/>
              </w:rPr>
              <w:t xml:space="preserve">saistībā ar </w:t>
            </w:r>
            <w:r w:rsidR="000B65F4">
              <w:rPr>
                <w:b/>
                <w:bCs/>
              </w:rPr>
              <w:t>prasībām par šķīrējtiesnešu</w:t>
            </w:r>
            <w:r>
              <w:rPr>
                <w:b/>
                <w:bCs/>
              </w:rPr>
              <w:t xml:space="preserve"> sertificēšanu</w:t>
            </w:r>
          </w:p>
          <w:p w14:paraId="19123E2D" w14:textId="77777777" w:rsidR="002A3923" w:rsidRPr="00C91D83" w:rsidRDefault="004C2B4F" w:rsidP="00845E8A">
            <w:pPr>
              <w:pStyle w:val="tv213"/>
              <w:spacing w:before="200" w:beforeAutospacing="0" w:after="200" w:afterAutospacing="0" w:line="276" w:lineRule="auto"/>
              <w:jc w:val="both"/>
              <w:rPr>
                <w:bCs/>
              </w:rPr>
            </w:pPr>
            <w:r w:rsidRPr="00456404">
              <w:rPr>
                <w:bCs/>
              </w:rPr>
              <w:t xml:space="preserve">Saeimā </w:t>
            </w:r>
            <w:r>
              <w:rPr>
                <w:bCs/>
              </w:rPr>
              <w:t>š</w:t>
            </w:r>
            <w:r w:rsidR="00456404" w:rsidRPr="00456404">
              <w:rPr>
                <w:bCs/>
              </w:rPr>
              <w:t xml:space="preserve">ī pozīcijas ziņojuma </w:t>
            </w:r>
            <w:r w:rsidR="00DC5B07">
              <w:rPr>
                <w:bCs/>
              </w:rPr>
              <w:t>izstrā</w:t>
            </w:r>
            <w:r w:rsidR="00EA1834">
              <w:rPr>
                <w:bCs/>
              </w:rPr>
              <w:t>dā</w:t>
            </w:r>
            <w:r w:rsidR="00DC5B07">
              <w:rPr>
                <w:bCs/>
              </w:rPr>
              <w:t>šanas</w:t>
            </w:r>
            <w:r w:rsidR="00456404" w:rsidRPr="00456404">
              <w:rPr>
                <w:bCs/>
              </w:rPr>
              <w:t xml:space="preserve"> laikā </w:t>
            </w:r>
            <w:r w:rsidR="00EA1834">
              <w:rPr>
                <w:bCs/>
              </w:rPr>
              <w:t>notiek</w:t>
            </w:r>
            <w:r w:rsidR="00456404" w:rsidRPr="00456404">
              <w:rPr>
                <w:bCs/>
              </w:rPr>
              <w:t xml:space="preserve"> </w:t>
            </w:r>
            <w:r w:rsidR="00EA1834">
              <w:rPr>
                <w:bCs/>
              </w:rPr>
              <w:t>jaunā</w:t>
            </w:r>
            <w:r w:rsidR="00EA1834" w:rsidRPr="00456404">
              <w:rPr>
                <w:bCs/>
              </w:rPr>
              <w:t xml:space="preserve"> „Šķīrējtiesu likuma” likumprojekt</w:t>
            </w:r>
            <w:r w:rsidR="00EA1834">
              <w:rPr>
                <w:bCs/>
              </w:rPr>
              <w:t>a</w:t>
            </w:r>
            <w:r w:rsidR="00EA1834" w:rsidRPr="00456404">
              <w:rPr>
                <w:bCs/>
              </w:rPr>
              <w:t xml:space="preserve"> </w:t>
            </w:r>
            <w:r w:rsidR="00EA1834">
              <w:rPr>
                <w:bCs/>
              </w:rPr>
              <w:t>izskatīšana</w:t>
            </w:r>
            <w:r w:rsidR="00456404" w:rsidRPr="00456404">
              <w:rPr>
                <w:bCs/>
              </w:rPr>
              <w:t xml:space="preserve">. </w:t>
            </w:r>
            <w:r w:rsidR="00EA1834">
              <w:rPr>
                <w:bCs/>
              </w:rPr>
              <w:t>L</w:t>
            </w:r>
            <w:r w:rsidR="00456404" w:rsidRPr="00456404">
              <w:rPr>
                <w:bCs/>
              </w:rPr>
              <w:t>ikumprojekts</w:t>
            </w:r>
            <w:r>
              <w:rPr>
                <w:bCs/>
              </w:rPr>
              <w:t xml:space="preserve"> </w:t>
            </w:r>
            <w:r w:rsidR="00EA1834">
              <w:rPr>
                <w:bCs/>
              </w:rPr>
              <w:t xml:space="preserve">jau </w:t>
            </w:r>
            <w:r w:rsidR="00456404" w:rsidRPr="00456404">
              <w:rPr>
                <w:bCs/>
              </w:rPr>
              <w:t>ir ticis pieņemts pirmajā lasījumā</w:t>
            </w:r>
            <w:r w:rsidR="002A3923" w:rsidRPr="00456404">
              <w:rPr>
                <w:bCs/>
              </w:rPr>
              <w:t xml:space="preserve"> </w:t>
            </w:r>
            <w:r w:rsidR="00456404" w:rsidRPr="00456404">
              <w:rPr>
                <w:bCs/>
              </w:rPr>
              <w:t>un šobrīd tiek sagatavots Saeimas Juridiskās komisijas Tiesu politikas apakškomisijā iesniegšanai uz otro lasījumu</w:t>
            </w:r>
            <w:r w:rsidR="00EA1834">
              <w:rPr>
                <w:bCs/>
              </w:rPr>
              <w:t>, tomēr, izvērtējot likumprojekta pašreizējo redakciju, ĀIPL ieskatā ir konstatējamas iespējas tā</w:t>
            </w:r>
            <w:r w:rsidR="00DA71F9">
              <w:rPr>
                <w:bCs/>
              </w:rPr>
              <w:t>s</w:t>
            </w:r>
            <w:r w:rsidR="00EA1834">
              <w:rPr>
                <w:bCs/>
              </w:rPr>
              <w:t xml:space="preserve"> tālākai pilnveidošanai</w:t>
            </w:r>
            <w:r w:rsidR="00456404" w:rsidRPr="00456404">
              <w:rPr>
                <w:bCs/>
              </w:rPr>
              <w:t>.</w:t>
            </w:r>
          </w:p>
          <w:p w14:paraId="6BE806E2" w14:textId="77777777" w:rsidR="002A3923" w:rsidRPr="00C91D83" w:rsidRDefault="002A3923" w:rsidP="002A3923">
            <w:pPr>
              <w:tabs>
                <w:tab w:val="left" w:pos="2268"/>
              </w:tabs>
              <w:spacing w:before="200" w:after="200" w:line="276" w:lineRule="auto"/>
              <w:ind w:left="851" w:hanging="851"/>
              <w:rPr>
                <w:b/>
                <w:color w:val="000000"/>
                <w:sz w:val="24"/>
                <w:szCs w:val="24"/>
                <w:lang w:val="lv-LV"/>
              </w:rPr>
            </w:pPr>
            <w:r w:rsidRPr="00C91D83">
              <w:rPr>
                <w:b/>
                <w:color w:val="000000"/>
                <w:sz w:val="24"/>
                <w:szCs w:val="24"/>
                <w:lang w:val="lv-LV"/>
              </w:rPr>
              <w:t>3.2.3.1.</w:t>
            </w:r>
            <w:r w:rsidRPr="00C91D83">
              <w:rPr>
                <w:b/>
                <w:color w:val="000000"/>
                <w:sz w:val="24"/>
                <w:szCs w:val="24"/>
                <w:lang w:val="lv-LV"/>
              </w:rPr>
              <w:tab/>
            </w:r>
            <w:r w:rsidR="005F7B0F" w:rsidRPr="005F7B0F">
              <w:rPr>
                <w:b/>
                <w:color w:val="000000"/>
                <w:sz w:val="24"/>
                <w:szCs w:val="24"/>
                <w:lang w:val="lv-LV"/>
              </w:rPr>
              <w:t>„Šķīrējtiesu likuma” likumprojekt</w:t>
            </w:r>
            <w:r w:rsidR="005F7B0F">
              <w:rPr>
                <w:b/>
                <w:color w:val="000000"/>
                <w:sz w:val="24"/>
                <w:szCs w:val="24"/>
                <w:lang w:val="lv-LV"/>
              </w:rPr>
              <w:t xml:space="preserve">ā nepieciešams paredzēt, ka </w:t>
            </w:r>
            <w:r w:rsidR="00C836E4">
              <w:rPr>
                <w:b/>
                <w:color w:val="000000"/>
                <w:sz w:val="24"/>
                <w:szCs w:val="24"/>
                <w:lang w:val="lv-LV"/>
              </w:rPr>
              <w:t>gadījumā</w:t>
            </w:r>
            <w:r w:rsidR="005F7B0F">
              <w:rPr>
                <w:b/>
                <w:color w:val="000000"/>
                <w:sz w:val="24"/>
                <w:szCs w:val="24"/>
                <w:lang w:val="lv-LV"/>
              </w:rPr>
              <w:t xml:space="preserve">, ja </w:t>
            </w:r>
            <w:r w:rsidR="00C836E4">
              <w:rPr>
                <w:b/>
                <w:color w:val="000000"/>
                <w:sz w:val="24"/>
                <w:szCs w:val="24"/>
                <w:lang w:val="lv-LV"/>
              </w:rPr>
              <w:t xml:space="preserve">prasījums </w:t>
            </w:r>
            <w:r w:rsidR="005F7B0F">
              <w:rPr>
                <w:b/>
                <w:color w:val="000000"/>
                <w:sz w:val="24"/>
                <w:szCs w:val="24"/>
                <w:lang w:val="lv-LV"/>
              </w:rPr>
              <w:t xml:space="preserve">tiek cedēts un ja </w:t>
            </w:r>
            <w:r w:rsidR="009F49CB">
              <w:rPr>
                <w:b/>
                <w:color w:val="000000"/>
                <w:sz w:val="24"/>
                <w:szCs w:val="24"/>
                <w:lang w:val="lv-LV"/>
              </w:rPr>
              <w:t xml:space="preserve">saistībā ar </w:t>
            </w:r>
            <w:r w:rsidR="00C836E4">
              <w:rPr>
                <w:b/>
                <w:color w:val="000000"/>
                <w:sz w:val="24"/>
                <w:szCs w:val="24"/>
                <w:lang w:val="lv-LV"/>
              </w:rPr>
              <w:t>šo prasījumu</w:t>
            </w:r>
            <w:r w:rsidR="009F49CB">
              <w:rPr>
                <w:b/>
                <w:color w:val="000000"/>
                <w:sz w:val="24"/>
                <w:szCs w:val="24"/>
                <w:lang w:val="lv-LV"/>
              </w:rPr>
              <w:t xml:space="preserve"> ir</w:t>
            </w:r>
            <w:r w:rsidR="005F7B0F">
              <w:rPr>
                <w:b/>
                <w:color w:val="000000"/>
                <w:sz w:val="24"/>
                <w:szCs w:val="24"/>
                <w:lang w:val="lv-LV"/>
              </w:rPr>
              <w:t xml:space="preserve"> paredz</w:t>
            </w:r>
            <w:r w:rsidR="009F49CB">
              <w:rPr>
                <w:b/>
                <w:color w:val="000000"/>
                <w:sz w:val="24"/>
                <w:szCs w:val="24"/>
                <w:lang w:val="lv-LV"/>
              </w:rPr>
              <w:t>ēta</w:t>
            </w:r>
            <w:r w:rsidR="005F7B0F">
              <w:rPr>
                <w:b/>
                <w:color w:val="000000"/>
                <w:sz w:val="24"/>
                <w:szCs w:val="24"/>
                <w:lang w:val="lv-LV"/>
              </w:rPr>
              <w:t xml:space="preserve"> strīdu risināšan</w:t>
            </w:r>
            <w:r w:rsidR="004324D0">
              <w:rPr>
                <w:b/>
                <w:color w:val="000000"/>
                <w:sz w:val="24"/>
                <w:szCs w:val="24"/>
                <w:lang w:val="lv-LV"/>
              </w:rPr>
              <w:t>a</w:t>
            </w:r>
            <w:r w:rsidR="005F7B0F">
              <w:rPr>
                <w:b/>
                <w:color w:val="000000"/>
                <w:sz w:val="24"/>
                <w:szCs w:val="24"/>
                <w:lang w:val="lv-LV"/>
              </w:rPr>
              <w:t xml:space="preserve"> šķīrējtiesā, </w:t>
            </w:r>
            <w:r w:rsidR="00C836E4">
              <w:rPr>
                <w:b/>
                <w:color w:val="000000"/>
                <w:sz w:val="24"/>
                <w:szCs w:val="24"/>
                <w:lang w:val="lv-LV"/>
              </w:rPr>
              <w:t xml:space="preserve">tad </w:t>
            </w:r>
            <w:r w:rsidR="005F7B0F">
              <w:rPr>
                <w:b/>
                <w:color w:val="000000"/>
                <w:sz w:val="24"/>
                <w:szCs w:val="24"/>
                <w:lang w:val="lv-LV"/>
              </w:rPr>
              <w:t>strīda risināšana šķīrējtiesā ir saistoša arī cesionāram</w:t>
            </w:r>
          </w:p>
          <w:p w14:paraId="3F5CF154" w14:textId="77777777" w:rsidR="002A3923" w:rsidRPr="00C91D83" w:rsidRDefault="005D0CB8" w:rsidP="00695DBB">
            <w:pPr>
              <w:pStyle w:val="tv213"/>
              <w:spacing w:before="200" w:beforeAutospacing="0" w:after="200" w:afterAutospacing="0" w:line="276" w:lineRule="auto"/>
              <w:jc w:val="both"/>
              <w:rPr>
                <w:bCs/>
              </w:rPr>
            </w:pPr>
            <w:r w:rsidRPr="005D0CB8">
              <w:rPr>
                <w:bCs/>
              </w:rPr>
              <w:t>Likumprojekt</w:t>
            </w:r>
            <w:r w:rsidR="00573984">
              <w:rPr>
                <w:bCs/>
              </w:rPr>
              <w:t>a</w:t>
            </w:r>
            <w:r w:rsidRPr="005D0CB8">
              <w:rPr>
                <w:bCs/>
              </w:rPr>
              <w:t xml:space="preserve"> 13.panta ceturtajā daļā</w:t>
            </w:r>
            <w:r w:rsidR="00C801D3">
              <w:rPr>
                <w:bCs/>
              </w:rPr>
              <w:t xml:space="preserve"> </w:t>
            </w:r>
            <w:r w:rsidR="00573984" w:rsidRPr="005D0CB8">
              <w:rPr>
                <w:bCs/>
              </w:rPr>
              <w:t>ir</w:t>
            </w:r>
            <w:r w:rsidR="00573984">
              <w:rPr>
                <w:bCs/>
              </w:rPr>
              <w:t xml:space="preserve"> ietverts</w:t>
            </w:r>
            <w:r w:rsidR="00573984" w:rsidRPr="005D0CB8">
              <w:rPr>
                <w:bCs/>
              </w:rPr>
              <w:t xml:space="preserve"> priekšlikums </w:t>
            </w:r>
            <w:r w:rsidR="00C801D3">
              <w:rPr>
                <w:bCs/>
              </w:rPr>
              <w:t>noteikt</w:t>
            </w:r>
            <w:r w:rsidRPr="005D0CB8">
              <w:rPr>
                <w:bCs/>
              </w:rPr>
              <w:t xml:space="preserve">, ka gadījumos, ja prasījums, piemēram, </w:t>
            </w:r>
            <w:r w:rsidR="00573984">
              <w:rPr>
                <w:bCs/>
              </w:rPr>
              <w:t>prasījum</w:t>
            </w:r>
            <w:r w:rsidR="00293619">
              <w:rPr>
                <w:bCs/>
              </w:rPr>
              <w:t>s</w:t>
            </w:r>
            <w:r w:rsidR="00573984">
              <w:rPr>
                <w:bCs/>
              </w:rPr>
              <w:t>, kas pamatots ar līgumu</w:t>
            </w:r>
            <w:r w:rsidRPr="005D0CB8">
              <w:rPr>
                <w:bCs/>
              </w:rPr>
              <w:t>, tiek cedēts</w:t>
            </w:r>
            <w:r w:rsidR="00E93ED9">
              <w:rPr>
                <w:bCs/>
              </w:rPr>
              <w:t xml:space="preserve"> jeb nodots</w:t>
            </w:r>
            <w:r w:rsidR="004504E9">
              <w:rPr>
                <w:bCs/>
              </w:rPr>
              <w:t xml:space="preserve"> citai personai, cesionāram,</w:t>
            </w:r>
            <w:r w:rsidR="002A3923" w:rsidRPr="005D0CB8">
              <w:rPr>
                <w:bCs/>
              </w:rPr>
              <w:t xml:space="preserve"> </w:t>
            </w:r>
            <w:r w:rsidRPr="005D0CB8">
              <w:rPr>
                <w:bCs/>
              </w:rPr>
              <w:t xml:space="preserve">tad uz cesionāru pāriet tikai </w:t>
            </w:r>
            <w:r w:rsidRPr="0020520B">
              <w:rPr>
                <w:bCs/>
              </w:rPr>
              <w:t>pats prasījums, bet ne šķīrējtiesas klauzula</w:t>
            </w:r>
            <w:r w:rsidR="002A3923" w:rsidRPr="0020520B">
              <w:rPr>
                <w:bCs/>
              </w:rPr>
              <w:t xml:space="preserve"> </w:t>
            </w:r>
            <w:r w:rsidR="006E0EE7" w:rsidRPr="0020520B">
              <w:rPr>
                <w:bCs/>
              </w:rPr>
              <w:t>(</w:t>
            </w:r>
            <w:r w:rsidRPr="0020520B">
              <w:rPr>
                <w:bCs/>
              </w:rPr>
              <w:t>un līdz ar to arī ne pienākums risināt strīdus šķīrējtiesā</w:t>
            </w:r>
            <w:r w:rsidR="006E0EE7" w:rsidRPr="0020520B">
              <w:rPr>
                <w:bCs/>
              </w:rPr>
              <w:t>)</w:t>
            </w:r>
            <w:r w:rsidR="002A3923" w:rsidRPr="0020520B">
              <w:rPr>
                <w:bCs/>
              </w:rPr>
              <w:t xml:space="preserve">. </w:t>
            </w:r>
            <w:r w:rsidR="0020520B" w:rsidRPr="0020520B">
              <w:rPr>
                <w:bCs/>
              </w:rPr>
              <w:t>Savukārt 29.panta otrā daļa precizē, ka</w:t>
            </w:r>
            <w:r w:rsidR="002A3923" w:rsidRPr="0020520B">
              <w:rPr>
                <w:bCs/>
              </w:rPr>
              <w:t xml:space="preserve"> </w:t>
            </w:r>
            <w:r w:rsidR="0020520B" w:rsidRPr="0020520B">
              <w:rPr>
                <w:bCs/>
              </w:rPr>
              <w:t>šādos gadījumos</w:t>
            </w:r>
            <w:r w:rsidR="002A3923" w:rsidRPr="0020520B">
              <w:rPr>
                <w:bCs/>
              </w:rPr>
              <w:t xml:space="preserve"> </w:t>
            </w:r>
            <w:r w:rsidR="0020520B" w:rsidRPr="0020520B">
              <w:rPr>
                <w:bCs/>
              </w:rPr>
              <w:t>šķīrējtiesai ir pienākums notiekošo šķīrējtiesa</w:t>
            </w:r>
            <w:r w:rsidR="00ED0A00">
              <w:rPr>
                <w:bCs/>
              </w:rPr>
              <w:t>s</w:t>
            </w:r>
            <w:r w:rsidR="0020520B" w:rsidRPr="0020520B">
              <w:rPr>
                <w:bCs/>
              </w:rPr>
              <w:t xml:space="preserve"> procesu izbeigt, ja vien puses </w:t>
            </w:r>
            <w:r w:rsidR="00573984" w:rsidRPr="0020520B">
              <w:rPr>
                <w:bCs/>
              </w:rPr>
              <w:t xml:space="preserve">par strīda risināšanu šķīrējtiesā </w:t>
            </w:r>
            <w:r w:rsidR="0020520B" w:rsidRPr="0020520B">
              <w:rPr>
                <w:bCs/>
              </w:rPr>
              <w:t>nevienojas</w:t>
            </w:r>
            <w:r w:rsidR="00573984" w:rsidRPr="0020520B">
              <w:rPr>
                <w:bCs/>
              </w:rPr>
              <w:t xml:space="preserve"> no jauna</w:t>
            </w:r>
            <w:r w:rsidR="0020520B" w:rsidRPr="0020520B">
              <w:rPr>
                <w:bCs/>
              </w:rPr>
              <w:t>.</w:t>
            </w:r>
          </w:p>
          <w:p w14:paraId="6BA30CA3" w14:textId="77777777" w:rsidR="005D3EE9" w:rsidRPr="00C91D83" w:rsidRDefault="005D3EE9" w:rsidP="005D3EE9">
            <w:pPr>
              <w:pStyle w:val="tv213"/>
              <w:spacing w:before="200" w:beforeAutospacing="0" w:after="200" w:afterAutospacing="0" w:line="276" w:lineRule="auto"/>
              <w:jc w:val="both"/>
              <w:rPr>
                <w:bCs/>
              </w:rPr>
            </w:pPr>
            <w:r>
              <w:rPr>
                <w:bCs/>
              </w:rPr>
              <w:lastRenderedPageBreak/>
              <w:t>J</w:t>
            </w:r>
            <w:r w:rsidRPr="00C91D83">
              <w:rPr>
                <w:bCs/>
              </w:rPr>
              <w:t xml:space="preserve">ānorāda, ka </w:t>
            </w:r>
            <w:r>
              <w:rPr>
                <w:bCs/>
              </w:rPr>
              <w:t xml:space="preserve">paredzētā regulējuma </w:t>
            </w:r>
            <w:r w:rsidR="00836F9E">
              <w:rPr>
                <w:bCs/>
              </w:rPr>
              <w:t xml:space="preserve">un līdzšinējās </w:t>
            </w:r>
            <w:r w:rsidR="00573984">
              <w:rPr>
                <w:bCs/>
              </w:rPr>
              <w:t xml:space="preserve">tiesu </w:t>
            </w:r>
            <w:r w:rsidR="00836F9E">
              <w:rPr>
                <w:bCs/>
              </w:rPr>
              <w:t>prakses</w:t>
            </w:r>
            <w:r w:rsidR="00836F9E">
              <w:rPr>
                <w:rStyle w:val="FootnoteReference"/>
                <w:bCs/>
              </w:rPr>
              <w:footnoteReference w:id="26"/>
            </w:r>
            <w:r w:rsidR="00836F9E">
              <w:rPr>
                <w:bCs/>
              </w:rPr>
              <w:t xml:space="preserve"> </w:t>
            </w:r>
            <w:r>
              <w:rPr>
                <w:bCs/>
              </w:rPr>
              <w:t xml:space="preserve">atbilstība pašreizējam normatīvajam regulējumam, </w:t>
            </w:r>
            <w:r w:rsidR="001035D7">
              <w:rPr>
                <w:bCs/>
              </w:rPr>
              <w:t>tostarp</w:t>
            </w:r>
            <w:r>
              <w:rPr>
                <w:bCs/>
              </w:rPr>
              <w:t xml:space="preserve"> </w:t>
            </w:r>
            <w:r w:rsidRPr="00C91D83">
              <w:rPr>
                <w:bCs/>
              </w:rPr>
              <w:t>vien</w:t>
            </w:r>
            <w:r>
              <w:rPr>
                <w:bCs/>
              </w:rPr>
              <w:t>am</w:t>
            </w:r>
            <w:r w:rsidRPr="00C91D83">
              <w:rPr>
                <w:bCs/>
              </w:rPr>
              <w:t xml:space="preserve"> no cesijas tiesību institūta pamatnoteikumiem, kas paredz, ka cesijas rezultātā nedrīkst pasliktināties parādnieka stāvoklis</w:t>
            </w:r>
            <w:r>
              <w:rPr>
                <w:bCs/>
              </w:rPr>
              <w:t>, ir vērtējama strīdīgi.</w:t>
            </w:r>
            <w:r>
              <w:rPr>
                <w:rStyle w:val="FootnoteReference"/>
                <w:bCs/>
              </w:rPr>
              <w:footnoteReference w:id="27"/>
            </w:r>
            <w:r w:rsidRPr="00C91D83">
              <w:rPr>
                <w:bCs/>
              </w:rPr>
              <w:t xml:space="preserve"> </w:t>
            </w:r>
            <w:r>
              <w:rPr>
                <w:bCs/>
              </w:rPr>
              <w:t xml:space="preserve">Tā kā </w:t>
            </w:r>
            <w:r w:rsidR="00016D94">
              <w:rPr>
                <w:bCs/>
              </w:rPr>
              <w:t>aizliegums pasliktināties parādnieka stāvoklim</w:t>
            </w:r>
            <w:r>
              <w:rPr>
                <w:bCs/>
              </w:rPr>
              <w:t xml:space="preserve"> attiecas arī uz dažāda veida priekšrocībām, </w:t>
            </w:r>
            <w:r w:rsidR="009D7B3D">
              <w:rPr>
                <w:bCs/>
              </w:rPr>
              <w:t>tajā skaitā</w:t>
            </w:r>
            <w:r w:rsidRPr="00C91D83">
              <w:rPr>
                <w:bCs/>
              </w:rPr>
              <w:t xml:space="preserve"> no likuma izrietoš</w:t>
            </w:r>
            <w:r>
              <w:rPr>
                <w:bCs/>
              </w:rPr>
              <w:t>ām</w:t>
            </w:r>
            <w:r w:rsidRPr="00C91D83">
              <w:rPr>
                <w:bCs/>
              </w:rPr>
              <w:t xml:space="preserve"> privilēģij</w:t>
            </w:r>
            <w:r>
              <w:rPr>
                <w:bCs/>
              </w:rPr>
              <w:t>ām</w:t>
            </w:r>
            <w:r w:rsidRPr="00C91D83">
              <w:rPr>
                <w:bCs/>
              </w:rPr>
              <w:t>, piemēram, piedziņas priekšrocīb</w:t>
            </w:r>
            <w:r>
              <w:rPr>
                <w:bCs/>
              </w:rPr>
              <w:t>ām,</w:t>
            </w:r>
            <w:r w:rsidRPr="00C91D83">
              <w:rPr>
                <w:rStyle w:val="FootnoteReference"/>
                <w:bCs/>
              </w:rPr>
              <w:footnoteReference w:id="28"/>
            </w:r>
            <w:r>
              <w:rPr>
                <w:bCs/>
              </w:rPr>
              <w:t xml:space="preserve"> tad gadījumā</w:t>
            </w:r>
            <w:r w:rsidRPr="00C91D83">
              <w:rPr>
                <w:bCs/>
              </w:rPr>
              <w:t xml:space="preserve">, ja pretēji pušu </w:t>
            </w:r>
            <w:r>
              <w:rPr>
                <w:bCs/>
              </w:rPr>
              <w:t>nodomam</w:t>
            </w:r>
            <w:r w:rsidRPr="00C91D83">
              <w:rPr>
                <w:bCs/>
              </w:rPr>
              <w:t xml:space="preserve"> strīd</w:t>
            </w:r>
            <w:r>
              <w:rPr>
                <w:bCs/>
              </w:rPr>
              <w:t>s netiek izskatīts</w:t>
            </w:r>
            <w:r w:rsidRPr="00C91D83">
              <w:rPr>
                <w:bCs/>
              </w:rPr>
              <w:t xml:space="preserve"> šķīrējties</w:t>
            </w:r>
            <w:r>
              <w:rPr>
                <w:bCs/>
              </w:rPr>
              <w:t>ā</w:t>
            </w:r>
            <w:r w:rsidRPr="00C91D83">
              <w:rPr>
                <w:bCs/>
              </w:rPr>
              <w:t xml:space="preserve">, </w:t>
            </w:r>
            <w:r>
              <w:rPr>
                <w:bCs/>
              </w:rPr>
              <w:t>tiek aizskartas parādnieka intereses un</w:t>
            </w:r>
            <w:r w:rsidRPr="00C91D83">
              <w:rPr>
                <w:bCs/>
              </w:rPr>
              <w:t xml:space="preserve"> rezultātā tiek pasliktināts </w:t>
            </w:r>
            <w:r>
              <w:rPr>
                <w:bCs/>
              </w:rPr>
              <w:t>tā</w:t>
            </w:r>
            <w:r w:rsidRPr="00C91D83">
              <w:rPr>
                <w:bCs/>
              </w:rPr>
              <w:t xml:space="preserve"> stāvoklis.</w:t>
            </w:r>
            <w:r>
              <w:rPr>
                <w:bCs/>
              </w:rPr>
              <w:t xml:space="preserve"> Bez tam saskaņā ar daudzu ārvalstu ar ilgām tradīcijām šķīrējtiesu regulējuma jomā, piemēram, ASV</w:t>
            </w:r>
            <w:r w:rsidRPr="00C91D83">
              <w:rPr>
                <w:bCs/>
              </w:rPr>
              <w:t>,</w:t>
            </w:r>
            <w:r w:rsidRPr="00C91D83">
              <w:rPr>
                <w:rStyle w:val="FootnoteReference"/>
                <w:bCs/>
              </w:rPr>
              <w:footnoteReference w:id="29"/>
            </w:r>
            <w:r w:rsidRPr="00C91D83">
              <w:rPr>
                <w:bCs/>
              </w:rPr>
              <w:t xml:space="preserve"> Anglija</w:t>
            </w:r>
            <w:r>
              <w:rPr>
                <w:bCs/>
              </w:rPr>
              <w:t>s</w:t>
            </w:r>
            <w:r w:rsidRPr="00C91D83">
              <w:rPr>
                <w:bCs/>
              </w:rPr>
              <w:t>,</w:t>
            </w:r>
            <w:r w:rsidRPr="00C91D83">
              <w:rPr>
                <w:rStyle w:val="FootnoteReference"/>
                <w:bCs/>
              </w:rPr>
              <w:footnoteReference w:id="30"/>
            </w:r>
            <w:r w:rsidRPr="00C91D83">
              <w:rPr>
                <w:bCs/>
              </w:rPr>
              <w:t xml:space="preserve"> Francija</w:t>
            </w:r>
            <w:r>
              <w:rPr>
                <w:bCs/>
              </w:rPr>
              <w:t>s</w:t>
            </w:r>
            <w:r w:rsidRPr="00C91D83">
              <w:rPr>
                <w:bCs/>
              </w:rPr>
              <w:t>,</w:t>
            </w:r>
            <w:r w:rsidRPr="00C91D83">
              <w:rPr>
                <w:rStyle w:val="FootnoteReference"/>
                <w:bCs/>
              </w:rPr>
              <w:footnoteReference w:id="31"/>
            </w:r>
            <w:r w:rsidRPr="00C91D83">
              <w:rPr>
                <w:bCs/>
              </w:rPr>
              <w:t xml:space="preserve"> Vācija</w:t>
            </w:r>
            <w:r>
              <w:rPr>
                <w:bCs/>
              </w:rPr>
              <w:t>s</w:t>
            </w:r>
            <w:r w:rsidRPr="00C91D83">
              <w:rPr>
                <w:bCs/>
              </w:rPr>
              <w:t>,</w:t>
            </w:r>
            <w:r w:rsidRPr="00C91D83">
              <w:rPr>
                <w:rStyle w:val="FootnoteReference"/>
                <w:bCs/>
              </w:rPr>
              <w:footnoteReference w:id="32"/>
            </w:r>
            <w:r w:rsidRPr="00C91D83">
              <w:rPr>
                <w:bCs/>
              </w:rPr>
              <w:t xml:space="preserve"> Šveice</w:t>
            </w:r>
            <w:r>
              <w:rPr>
                <w:bCs/>
              </w:rPr>
              <w:t>s</w:t>
            </w:r>
            <w:r w:rsidRPr="00C91D83">
              <w:rPr>
                <w:rStyle w:val="FootnoteReference"/>
                <w:bCs/>
              </w:rPr>
              <w:footnoteReference w:id="33"/>
            </w:r>
            <w:r>
              <w:rPr>
                <w:bCs/>
              </w:rPr>
              <w:t xml:space="preserve"> un</w:t>
            </w:r>
            <w:r w:rsidRPr="00C91D83">
              <w:rPr>
                <w:bCs/>
              </w:rPr>
              <w:t xml:space="preserve"> Zviedrija</w:t>
            </w:r>
            <w:r>
              <w:rPr>
                <w:bCs/>
              </w:rPr>
              <w:t>s,</w:t>
            </w:r>
            <w:r w:rsidRPr="00C91D83">
              <w:rPr>
                <w:rStyle w:val="FootnoteReference"/>
                <w:bCs/>
              </w:rPr>
              <w:footnoteReference w:id="34"/>
            </w:r>
            <w:r>
              <w:rPr>
                <w:bCs/>
              </w:rPr>
              <w:t xml:space="preserve"> </w:t>
            </w:r>
            <w:r w:rsidR="00B502CC">
              <w:rPr>
                <w:bCs/>
              </w:rPr>
              <w:t xml:space="preserve">praksi </w:t>
            </w:r>
            <w:r>
              <w:rPr>
                <w:bCs/>
              </w:rPr>
              <w:t>š</w:t>
            </w:r>
            <w:r w:rsidRPr="00C91D83">
              <w:rPr>
                <w:bCs/>
              </w:rPr>
              <w:t xml:space="preserve">ķīrējtiesas klauzulas saistošais raksturs uz cesionāru pāriet kā prasījumam piederīga objektīvi nepieciešama un neatņemama </w:t>
            </w:r>
            <w:r>
              <w:rPr>
                <w:bCs/>
              </w:rPr>
              <w:t>tā</w:t>
            </w:r>
            <w:r w:rsidRPr="00C91D83">
              <w:rPr>
                <w:bCs/>
              </w:rPr>
              <w:t xml:space="preserve"> realizēšanas kārtība.</w:t>
            </w:r>
          </w:p>
          <w:p w14:paraId="6928C359" w14:textId="77777777" w:rsidR="006C3DD1" w:rsidRPr="00C91D83" w:rsidRDefault="00836F9E" w:rsidP="0046368C">
            <w:pPr>
              <w:pStyle w:val="tv213"/>
              <w:spacing w:before="200" w:beforeAutospacing="0" w:after="200" w:afterAutospacing="0" w:line="276" w:lineRule="auto"/>
              <w:jc w:val="both"/>
              <w:rPr>
                <w:bCs/>
              </w:rPr>
            </w:pPr>
            <w:r>
              <w:rPr>
                <w:bCs/>
              </w:rPr>
              <w:t>Turklāt ĀIPL</w:t>
            </w:r>
            <w:r w:rsidR="00F026EF" w:rsidRPr="00C91D83">
              <w:rPr>
                <w:bCs/>
              </w:rPr>
              <w:t xml:space="preserve"> </w:t>
            </w:r>
            <w:r w:rsidR="0021047B">
              <w:rPr>
                <w:bCs/>
              </w:rPr>
              <w:t>ieskatā</w:t>
            </w:r>
            <w:r w:rsidR="00F026EF" w:rsidRPr="00C91D83">
              <w:rPr>
                <w:bCs/>
              </w:rPr>
              <w:t xml:space="preserve"> </w:t>
            </w:r>
            <w:r>
              <w:rPr>
                <w:bCs/>
              </w:rPr>
              <w:t>iecerētā</w:t>
            </w:r>
            <w:r w:rsidR="00F026EF" w:rsidRPr="00C91D83">
              <w:rPr>
                <w:bCs/>
              </w:rPr>
              <w:t xml:space="preserve"> </w:t>
            </w:r>
            <w:r>
              <w:rPr>
                <w:bCs/>
              </w:rPr>
              <w:t>„</w:t>
            </w:r>
            <w:r w:rsidR="00F026EF" w:rsidRPr="00C91D83">
              <w:rPr>
                <w:bCs/>
              </w:rPr>
              <w:t>Šķīrējtiesu likuma</w:t>
            </w:r>
            <w:r>
              <w:rPr>
                <w:bCs/>
              </w:rPr>
              <w:t>”</w:t>
            </w:r>
            <w:r w:rsidR="00F026EF" w:rsidRPr="00C91D83">
              <w:rPr>
                <w:bCs/>
              </w:rPr>
              <w:t xml:space="preserve"> </w:t>
            </w:r>
            <w:r>
              <w:rPr>
                <w:bCs/>
              </w:rPr>
              <w:t>likum</w:t>
            </w:r>
            <w:r w:rsidR="00F026EF" w:rsidRPr="00C91D83">
              <w:rPr>
                <w:bCs/>
              </w:rPr>
              <w:t>projekta redakcija attiecībā uz cesijas līguma noslēgšanas ietekmi u</w:t>
            </w:r>
            <w:r w:rsidR="00D46EDF">
              <w:rPr>
                <w:bCs/>
              </w:rPr>
              <w:t>z</w:t>
            </w:r>
            <w:r w:rsidR="00F026EF" w:rsidRPr="00C91D83">
              <w:rPr>
                <w:bCs/>
              </w:rPr>
              <w:t xml:space="preserve"> šķīrējtiesas procesu </w:t>
            </w:r>
            <w:r w:rsidR="00D46EDF">
              <w:rPr>
                <w:bCs/>
              </w:rPr>
              <w:t>būtu pilnveidojama</w:t>
            </w:r>
            <w:r w:rsidR="0046368C">
              <w:rPr>
                <w:bCs/>
              </w:rPr>
              <w:t xml:space="preserve">, </w:t>
            </w:r>
            <w:r w:rsidR="00454125">
              <w:rPr>
                <w:bCs/>
              </w:rPr>
              <w:t xml:space="preserve">papildus </w:t>
            </w:r>
            <w:r w:rsidR="0046368C">
              <w:rPr>
                <w:bCs/>
              </w:rPr>
              <w:t xml:space="preserve">ņemot vērā </w:t>
            </w:r>
            <w:r w:rsidR="00454125">
              <w:rPr>
                <w:bCs/>
              </w:rPr>
              <w:t xml:space="preserve">arī </w:t>
            </w:r>
            <w:r w:rsidR="0046368C">
              <w:rPr>
                <w:bCs/>
              </w:rPr>
              <w:t>to</w:t>
            </w:r>
            <w:r w:rsidR="00D46EDF">
              <w:rPr>
                <w:bCs/>
              </w:rPr>
              <w:t>, ka pašr</w:t>
            </w:r>
            <w:r w:rsidR="00454125">
              <w:rPr>
                <w:bCs/>
              </w:rPr>
              <w:t>eiz paredzētaja</w:t>
            </w:r>
            <w:r w:rsidR="00653ADF">
              <w:rPr>
                <w:bCs/>
              </w:rPr>
              <w:t>m</w:t>
            </w:r>
            <w:r w:rsidR="00F026EF" w:rsidRPr="00C91D83">
              <w:rPr>
                <w:bCs/>
              </w:rPr>
              <w:t xml:space="preserve"> </w:t>
            </w:r>
            <w:r w:rsidR="00653ADF">
              <w:rPr>
                <w:bCs/>
              </w:rPr>
              <w:t>regulējumam</w:t>
            </w:r>
            <w:r w:rsidR="00F026EF" w:rsidRPr="00C91D83">
              <w:rPr>
                <w:bCs/>
              </w:rPr>
              <w:t xml:space="preserve"> </w:t>
            </w:r>
            <w:r w:rsidR="00454125">
              <w:rPr>
                <w:bCs/>
              </w:rPr>
              <w:t xml:space="preserve">būtu </w:t>
            </w:r>
            <w:r w:rsidR="00405A90">
              <w:rPr>
                <w:bCs/>
              </w:rPr>
              <w:t>ir paredzama negatīva</w:t>
            </w:r>
            <w:r w:rsidR="00454125">
              <w:rPr>
                <w:bCs/>
              </w:rPr>
              <w:t xml:space="preserve"> ietekme uz</w:t>
            </w:r>
            <w:r w:rsidR="00F026EF" w:rsidRPr="00C91D83">
              <w:rPr>
                <w:bCs/>
              </w:rPr>
              <w:t xml:space="preserve"> civiltiesiskās apgrozības stabilitāti un prognozējamību.</w:t>
            </w:r>
            <w:r w:rsidR="00100A3B">
              <w:rPr>
                <w:bCs/>
              </w:rPr>
              <w:t xml:space="preserve"> </w:t>
            </w:r>
            <w:r w:rsidR="00653ADF">
              <w:rPr>
                <w:bCs/>
              </w:rPr>
              <w:t>Šobrīd plānotais regulējums</w:t>
            </w:r>
            <w:r w:rsidR="00A85F9D" w:rsidRPr="00C91D83">
              <w:rPr>
                <w:bCs/>
              </w:rPr>
              <w:t xml:space="preserve"> faktiski iznīcina šķīrējtiesas līguma saistošo spēku, jo paredz vienkāršu </w:t>
            </w:r>
            <w:r w:rsidR="00100A3B">
              <w:rPr>
                <w:bCs/>
              </w:rPr>
              <w:t>iespēju</w:t>
            </w:r>
            <w:r w:rsidR="00100A3B" w:rsidRPr="00C91D83">
              <w:rPr>
                <w:bCs/>
              </w:rPr>
              <w:t xml:space="preserve"> </w:t>
            </w:r>
            <w:r w:rsidR="00EE3E9C">
              <w:rPr>
                <w:bCs/>
              </w:rPr>
              <w:t xml:space="preserve">pielīgto </w:t>
            </w:r>
            <w:r w:rsidR="00100A3B" w:rsidRPr="00C91D83">
              <w:rPr>
                <w:bCs/>
              </w:rPr>
              <w:t>šķīrējtiesas procesu apiet</w:t>
            </w:r>
            <w:r w:rsidR="00A85F9D" w:rsidRPr="00C91D83">
              <w:rPr>
                <w:bCs/>
              </w:rPr>
              <w:t xml:space="preserve">, </w:t>
            </w:r>
            <w:r w:rsidR="00EE3E9C">
              <w:rPr>
                <w:bCs/>
              </w:rPr>
              <w:t>iespējams, fiktīvi cedējot prasījumu trešajai personai, kas nozīmē, ka tādā gadījumā strīdi varētu tikt skatīti tikai tiesā, bet ne šķīrējtiesā. Šāda situācija savukārt ievērojami samazin</w:t>
            </w:r>
            <w:r w:rsidR="006215A5">
              <w:rPr>
                <w:bCs/>
              </w:rPr>
              <w:t>ātu</w:t>
            </w:r>
            <w:r w:rsidR="00EE3E9C">
              <w:rPr>
                <w:bCs/>
              </w:rPr>
              <w:t xml:space="preserve"> Latvijas tiesiskās un uzņēmējdarbības vides paredzamību, </w:t>
            </w:r>
            <w:r w:rsidR="006215A5">
              <w:rPr>
                <w:bCs/>
              </w:rPr>
              <w:t>ievērojot, ka tādā gadījumā tiktu radīta</w:t>
            </w:r>
            <w:r w:rsidR="00EE3E9C">
              <w:rPr>
                <w:bCs/>
              </w:rPr>
              <w:t xml:space="preserve"> </w:t>
            </w:r>
            <w:r w:rsidR="006215A5">
              <w:rPr>
                <w:bCs/>
              </w:rPr>
              <w:t xml:space="preserve">nenoteiktība </w:t>
            </w:r>
            <w:r w:rsidR="00EE3E9C">
              <w:rPr>
                <w:bCs/>
              </w:rPr>
              <w:t>jautājumos par ar ārvalstu</w:t>
            </w:r>
            <w:r w:rsidR="00A85F9D" w:rsidRPr="00C91D83">
              <w:rPr>
                <w:bCs/>
              </w:rPr>
              <w:t xml:space="preserve"> investīcijām saistīto strīdu izšķiršanu. </w:t>
            </w:r>
            <w:r w:rsidR="00EE3E9C">
              <w:rPr>
                <w:bCs/>
              </w:rPr>
              <w:t>Jāuzsver, ka ā</w:t>
            </w:r>
            <w:r w:rsidR="00A85F9D" w:rsidRPr="00C91D83">
              <w:rPr>
                <w:bCs/>
              </w:rPr>
              <w:t xml:space="preserve">rvalstu investori ir ieinteresēti ātrā, efektīvā un prognozējamā strīdu izšķiršanā, kuru </w:t>
            </w:r>
            <w:r w:rsidR="00EE3E9C" w:rsidRPr="00C91D83">
              <w:rPr>
                <w:bCs/>
              </w:rPr>
              <w:t>šķīrējtiesas</w:t>
            </w:r>
            <w:r w:rsidR="00EE3E9C">
              <w:rPr>
                <w:bCs/>
              </w:rPr>
              <w:t xml:space="preserve"> var</w:t>
            </w:r>
            <w:r w:rsidR="00EE3E9C" w:rsidRPr="00C91D83">
              <w:rPr>
                <w:bCs/>
              </w:rPr>
              <w:t xml:space="preserve"> </w:t>
            </w:r>
            <w:r w:rsidR="00A85F9D" w:rsidRPr="00C91D83">
              <w:rPr>
                <w:bCs/>
              </w:rPr>
              <w:t>nodrošin</w:t>
            </w:r>
            <w:r w:rsidR="00EE3E9C">
              <w:rPr>
                <w:bCs/>
              </w:rPr>
              <w:t>āt</w:t>
            </w:r>
            <w:r w:rsidR="00A85F9D" w:rsidRPr="00C91D83">
              <w:rPr>
                <w:bCs/>
              </w:rPr>
              <w:t xml:space="preserve">. </w:t>
            </w:r>
            <w:r w:rsidR="00EE3E9C">
              <w:rPr>
                <w:bCs/>
              </w:rPr>
              <w:t>Savukārt likumprojekta pieņemšana plānotajā redakcijā nozīmētu</w:t>
            </w:r>
            <w:r w:rsidR="00DB799D">
              <w:rPr>
                <w:bCs/>
              </w:rPr>
              <w:t xml:space="preserve"> iespēju</w:t>
            </w:r>
            <w:r w:rsidR="00A85F9D" w:rsidRPr="00C91D83">
              <w:rPr>
                <w:bCs/>
              </w:rPr>
              <w:t xml:space="preserve"> šķīrējtiesas procesa saistoš</w:t>
            </w:r>
            <w:r w:rsidR="00DB799D">
              <w:rPr>
                <w:bCs/>
              </w:rPr>
              <w:t>o</w:t>
            </w:r>
            <w:r w:rsidR="00A85F9D" w:rsidRPr="00C91D83">
              <w:rPr>
                <w:bCs/>
              </w:rPr>
              <w:t xml:space="preserve"> rakstur</w:t>
            </w:r>
            <w:r w:rsidR="00DB799D">
              <w:rPr>
                <w:bCs/>
              </w:rPr>
              <w:t>u</w:t>
            </w:r>
            <w:r w:rsidR="00A85F9D" w:rsidRPr="00C91D83">
              <w:rPr>
                <w:bCs/>
              </w:rPr>
              <w:t xml:space="preserve"> viegli apiet, liedzot tiesiskus strīdus risināt tādā kārtībā, kā investori līgumā pielīguši,</w:t>
            </w:r>
            <w:r w:rsidR="00DB799D">
              <w:rPr>
                <w:bCs/>
              </w:rPr>
              <w:t xml:space="preserve"> kas savukārt būtu</w:t>
            </w:r>
            <w:r w:rsidR="00A85F9D" w:rsidRPr="00C91D83">
              <w:rPr>
                <w:bCs/>
              </w:rPr>
              <w:t xml:space="preserve"> </w:t>
            </w:r>
            <w:r w:rsidR="00DB799D">
              <w:rPr>
                <w:bCs/>
              </w:rPr>
              <w:t>vērtējams kā</w:t>
            </w:r>
            <w:r w:rsidR="00A85F9D" w:rsidRPr="00C91D83">
              <w:rPr>
                <w:bCs/>
              </w:rPr>
              <w:t xml:space="preserve"> negatīvs signāls ārvalstu investoriem </w:t>
            </w:r>
            <w:r w:rsidR="00A85F9D" w:rsidRPr="00C91D83">
              <w:rPr>
                <w:bCs/>
              </w:rPr>
              <w:lastRenderedPageBreak/>
              <w:t>par civiltiesisko darījumu stabilitāti un investīciju drošumu Latvijā.</w:t>
            </w:r>
            <w:r w:rsidR="0028662A">
              <w:rPr>
                <w:bCs/>
              </w:rPr>
              <w:t xml:space="preserve"> Līdz ar to </w:t>
            </w:r>
            <w:r w:rsidR="00130319" w:rsidRPr="00130319">
              <w:rPr>
                <w:bCs/>
              </w:rPr>
              <w:t>ĀIPL</w:t>
            </w:r>
            <w:r w:rsidR="006C3DD1" w:rsidRPr="00C91D83">
              <w:rPr>
                <w:bCs/>
              </w:rPr>
              <w:t xml:space="preserve"> </w:t>
            </w:r>
            <w:r w:rsidR="00130319">
              <w:rPr>
                <w:bCs/>
              </w:rPr>
              <w:t xml:space="preserve">aicina </w:t>
            </w:r>
            <w:r w:rsidR="006C3DD1" w:rsidRPr="00C91D83">
              <w:rPr>
                <w:bCs/>
              </w:rPr>
              <w:t>Latvijas tiesisko regulējumu</w:t>
            </w:r>
            <w:r w:rsidR="00130319">
              <w:rPr>
                <w:bCs/>
              </w:rPr>
              <w:t xml:space="preserve"> attiecībā uz šķīrējtiesām</w:t>
            </w:r>
            <w:r w:rsidR="006C3DD1" w:rsidRPr="00C91D83">
              <w:rPr>
                <w:bCs/>
              </w:rPr>
              <w:t xml:space="preserve"> </w:t>
            </w:r>
            <w:r w:rsidR="00913DE2">
              <w:rPr>
                <w:bCs/>
              </w:rPr>
              <w:t>harmonizēt ar</w:t>
            </w:r>
            <w:r w:rsidR="006C3DD1" w:rsidRPr="00C91D83">
              <w:rPr>
                <w:bCs/>
              </w:rPr>
              <w:t xml:space="preserve"> Eiropas Savienības</w:t>
            </w:r>
            <w:r w:rsidR="00130319">
              <w:rPr>
                <w:bCs/>
              </w:rPr>
              <w:t xml:space="preserve"> un citu</w:t>
            </w:r>
            <w:r w:rsidR="006C3DD1" w:rsidRPr="00C91D83">
              <w:rPr>
                <w:bCs/>
              </w:rPr>
              <w:t xml:space="preserve"> valstu normatīvajos aktos un judikatūrā nostiprinātajiem vispāratzīt</w:t>
            </w:r>
            <w:r w:rsidR="00130319">
              <w:rPr>
                <w:bCs/>
              </w:rPr>
              <w:t>aj</w:t>
            </w:r>
            <w:r w:rsidR="006C3DD1" w:rsidRPr="00C91D83">
              <w:rPr>
                <w:bCs/>
              </w:rPr>
              <w:t xml:space="preserve">iem </w:t>
            </w:r>
            <w:r w:rsidR="00130319">
              <w:rPr>
                <w:bCs/>
              </w:rPr>
              <w:t>principiem</w:t>
            </w:r>
            <w:r w:rsidR="00551B78" w:rsidRPr="00C91D83">
              <w:rPr>
                <w:bCs/>
              </w:rPr>
              <w:t xml:space="preserve"> </w:t>
            </w:r>
            <w:r w:rsidR="00130319">
              <w:rPr>
                <w:bCs/>
              </w:rPr>
              <w:t xml:space="preserve">un </w:t>
            </w:r>
            <w:r w:rsidR="006215A5">
              <w:rPr>
                <w:bCs/>
              </w:rPr>
              <w:t>tiešā veidā precizēt, ka tad,</w:t>
            </w:r>
            <w:r w:rsidR="00130319">
              <w:rPr>
                <w:bCs/>
              </w:rPr>
              <w:t xml:space="preserve"> ja puses vienojušās par strīdu risināšanu šķīrējtiesā, prasījuma cesijas gadījumā </w:t>
            </w:r>
            <w:r w:rsidR="006215A5">
              <w:rPr>
                <w:bCs/>
              </w:rPr>
              <w:t xml:space="preserve">pienākums risināt strīdus šķīrējtiesā ir saistošs arī </w:t>
            </w:r>
            <w:r w:rsidR="00130319">
              <w:rPr>
                <w:bCs/>
              </w:rPr>
              <w:t>cesionāram</w:t>
            </w:r>
            <w:r w:rsidR="00551B78" w:rsidRPr="00C91D83">
              <w:rPr>
                <w:bCs/>
              </w:rPr>
              <w:t>.</w:t>
            </w:r>
          </w:p>
          <w:p w14:paraId="5BDB0A2B" w14:textId="77777777" w:rsidR="003A0F25" w:rsidRPr="00C91D83" w:rsidRDefault="003A0F25" w:rsidP="003A0F25">
            <w:pPr>
              <w:spacing w:before="200" w:after="200" w:line="276" w:lineRule="auto"/>
              <w:ind w:left="851" w:hanging="851"/>
              <w:rPr>
                <w:b/>
                <w:color w:val="000000"/>
                <w:sz w:val="24"/>
                <w:szCs w:val="24"/>
                <w:lang w:val="lv-LV"/>
              </w:rPr>
            </w:pPr>
            <w:r w:rsidRPr="00472816">
              <w:rPr>
                <w:b/>
                <w:color w:val="000000"/>
                <w:sz w:val="24"/>
                <w:szCs w:val="24"/>
                <w:lang w:val="lv-LV"/>
              </w:rPr>
              <w:t>3.2.3.</w:t>
            </w:r>
            <w:r w:rsidR="008D60DB" w:rsidRPr="00472816">
              <w:rPr>
                <w:b/>
                <w:color w:val="000000"/>
                <w:sz w:val="24"/>
                <w:szCs w:val="24"/>
                <w:lang w:val="lv-LV"/>
              </w:rPr>
              <w:t>2</w:t>
            </w:r>
            <w:r w:rsidRPr="00472816">
              <w:rPr>
                <w:b/>
                <w:color w:val="000000"/>
                <w:sz w:val="24"/>
                <w:szCs w:val="24"/>
                <w:lang w:val="lv-LV"/>
              </w:rPr>
              <w:t>.</w:t>
            </w:r>
            <w:r w:rsidRPr="00472816">
              <w:rPr>
                <w:b/>
                <w:color w:val="000000"/>
                <w:sz w:val="24"/>
                <w:szCs w:val="24"/>
                <w:lang w:val="lv-LV"/>
              </w:rPr>
              <w:tab/>
            </w:r>
            <w:r w:rsidR="00472816" w:rsidRPr="00472816">
              <w:rPr>
                <w:b/>
                <w:color w:val="000000"/>
                <w:sz w:val="24"/>
                <w:szCs w:val="24"/>
                <w:lang w:val="lv-LV"/>
              </w:rPr>
              <w:t>„Šķīrējtiesu likuma” likumprojektā</w:t>
            </w:r>
            <w:r w:rsidRPr="00472816">
              <w:rPr>
                <w:b/>
                <w:color w:val="000000"/>
                <w:sz w:val="24"/>
                <w:szCs w:val="24"/>
                <w:lang w:val="lv-LV"/>
              </w:rPr>
              <w:t xml:space="preserve"> </w:t>
            </w:r>
            <w:r w:rsidR="00472816" w:rsidRPr="00472816">
              <w:rPr>
                <w:b/>
                <w:color w:val="000000"/>
                <w:sz w:val="24"/>
                <w:szCs w:val="24"/>
                <w:lang w:val="lv-LV"/>
              </w:rPr>
              <w:t>nepieciešams paredzēt izņēmumus no vispārējās</w:t>
            </w:r>
            <w:r w:rsidRPr="00472816">
              <w:rPr>
                <w:b/>
                <w:color w:val="000000"/>
                <w:sz w:val="24"/>
                <w:szCs w:val="24"/>
                <w:lang w:val="lv-LV"/>
              </w:rPr>
              <w:t xml:space="preserve"> </w:t>
            </w:r>
            <w:r w:rsidR="00472816" w:rsidRPr="00472816">
              <w:rPr>
                <w:b/>
                <w:color w:val="000000"/>
                <w:sz w:val="24"/>
                <w:szCs w:val="24"/>
                <w:lang w:val="lv-LV"/>
              </w:rPr>
              <w:t>šķīrējtiesnešu sertifikācijas kārtības</w:t>
            </w:r>
          </w:p>
          <w:p w14:paraId="7D21EF7B" w14:textId="77777777" w:rsidR="003A0F25" w:rsidRDefault="008172DF" w:rsidP="00577BBA">
            <w:pPr>
              <w:spacing w:before="200" w:after="200" w:line="276" w:lineRule="auto"/>
              <w:jc w:val="both"/>
              <w:rPr>
                <w:color w:val="000000"/>
                <w:sz w:val="24"/>
                <w:szCs w:val="24"/>
                <w:lang w:val="lv-LV"/>
              </w:rPr>
            </w:pPr>
            <w:r>
              <w:rPr>
                <w:color w:val="000000"/>
                <w:sz w:val="24"/>
                <w:szCs w:val="24"/>
                <w:lang w:val="lv-LV"/>
              </w:rPr>
              <w:t>L</w:t>
            </w:r>
            <w:r w:rsidR="00577BBA">
              <w:rPr>
                <w:color w:val="000000"/>
                <w:sz w:val="24"/>
                <w:szCs w:val="24"/>
                <w:lang w:val="lv-LV"/>
              </w:rPr>
              <w:t xml:space="preserve">ikumprojekts vienlaikus paredz arī nosacījumu, ka, lai persona varētu būt par šķīrējtiesnesi, tai </w:t>
            </w:r>
            <w:r w:rsidR="00473ED7">
              <w:rPr>
                <w:color w:val="000000"/>
                <w:sz w:val="24"/>
                <w:szCs w:val="24"/>
                <w:lang w:val="lv-LV"/>
              </w:rPr>
              <w:t>jānoklausās</w:t>
            </w:r>
            <w:r w:rsidR="00577BBA">
              <w:rPr>
                <w:color w:val="000000"/>
                <w:sz w:val="24"/>
                <w:szCs w:val="24"/>
                <w:lang w:val="lv-LV"/>
              </w:rPr>
              <w:t xml:space="preserve"> obligāt</w:t>
            </w:r>
            <w:r w:rsidR="00473ED7">
              <w:rPr>
                <w:color w:val="000000"/>
                <w:sz w:val="24"/>
                <w:szCs w:val="24"/>
                <w:lang w:val="lv-LV"/>
              </w:rPr>
              <w:t>i</w:t>
            </w:r>
            <w:r w:rsidR="00577BBA">
              <w:rPr>
                <w:color w:val="000000"/>
                <w:sz w:val="24"/>
                <w:szCs w:val="24"/>
                <w:lang w:val="lv-LV"/>
              </w:rPr>
              <w:t xml:space="preserve"> </w:t>
            </w:r>
            <w:r w:rsidR="00473ED7">
              <w:rPr>
                <w:color w:val="000000"/>
                <w:sz w:val="24"/>
                <w:szCs w:val="24"/>
                <w:lang w:val="lv-LV"/>
              </w:rPr>
              <w:t>apmācības kursi</w:t>
            </w:r>
            <w:r w:rsidR="00577BBA">
              <w:rPr>
                <w:color w:val="000000"/>
                <w:sz w:val="24"/>
                <w:szCs w:val="24"/>
                <w:lang w:val="lv-LV"/>
              </w:rPr>
              <w:t xml:space="preserve">, jānokārto </w:t>
            </w:r>
            <w:r w:rsidR="00473ED7">
              <w:rPr>
                <w:color w:val="000000"/>
                <w:sz w:val="24"/>
                <w:szCs w:val="24"/>
                <w:lang w:val="lv-LV"/>
              </w:rPr>
              <w:t xml:space="preserve">kvalifikācijas </w:t>
            </w:r>
            <w:r w:rsidR="00577BBA">
              <w:rPr>
                <w:color w:val="000000"/>
                <w:sz w:val="24"/>
                <w:szCs w:val="24"/>
                <w:lang w:val="lv-LV"/>
              </w:rPr>
              <w:t>eksāmens</w:t>
            </w:r>
            <w:r w:rsidR="00C91D83" w:rsidRPr="00C91D83">
              <w:rPr>
                <w:color w:val="000000"/>
                <w:sz w:val="24"/>
                <w:szCs w:val="24"/>
                <w:lang w:val="lv-LV"/>
              </w:rPr>
              <w:t xml:space="preserve"> un </w:t>
            </w:r>
            <w:r w:rsidR="00577BBA">
              <w:rPr>
                <w:color w:val="000000"/>
                <w:sz w:val="24"/>
                <w:szCs w:val="24"/>
                <w:lang w:val="lv-LV"/>
              </w:rPr>
              <w:t>jāsaņem oficiāls sertifikāts</w:t>
            </w:r>
            <w:r w:rsidR="00C91D83" w:rsidRPr="00C91D83">
              <w:rPr>
                <w:color w:val="000000"/>
                <w:sz w:val="24"/>
                <w:szCs w:val="24"/>
                <w:lang w:val="lv-LV"/>
              </w:rPr>
              <w:t xml:space="preserve">. </w:t>
            </w:r>
            <w:r w:rsidR="002A772E">
              <w:rPr>
                <w:color w:val="000000"/>
                <w:sz w:val="24"/>
                <w:szCs w:val="24"/>
                <w:lang w:val="lv-LV"/>
              </w:rPr>
              <w:t>A</w:t>
            </w:r>
            <w:r w:rsidR="00473ED7">
              <w:rPr>
                <w:color w:val="000000"/>
                <w:sz w:val="24"/>
                <w:szCs w:val="24"/>
                <w:lang w:val="lv-LV"/>
              </w:rPr>
              <w:t>ttiecīgos</w:t>
            </w:r>
            <w:r w:rsidR="00C91D83" w:rsidRPr="00C91D83">
              <w:rPr>
                <w:color w:val="000000"/>
                <w:sz w:val="24"/>
                <w:szCs w:val="24"/>
                <w:lang w:val="lv-LV"/>
              </w:rPr>
              <w:t xml:space="preserve"> jautājumus </w:t>
            </w:r>
            <w:r w:rsidR="00473ED7">
              <w:rPr>
                <w:color w:val="000000"/>
                <w:sz w:val="24"/>
                <w:szCs w:val="24"/>
                <w:lang w:val="lv-LV"/>
              </w:rPr>
              <w:t>detalizētāk</w:t>
            </w:r>
            <w:r w:rsidR="002A772E">
              <w:rPr>
                <w:color w:val="000000"/>
                <w:sz w:val="24"/>
                <w:szCs w:val="24"/>
                <w:lang w:val="lv-LV"/>
              </w:rPr>
              <w:t xml:space="preserve"> paredzēts</w:t>
            </w:r>
            <w:r w:rsidR="00C91D83" w:rsidRPr="00C91D83">
              <w:rPr>
                <w:color w:val="000000"/>
                <w:sz w:val="24"/>
                <w:szCs w:val="24"/>
                <w:lang w:val="lv-LV"/>
              </w:rPr>
              <w:t xml:space="preserve"> regulē</w:t>
            </w:r>
            <w:r w:rsidR="002A772E">
              <w:rPr>
                <w:color w:val="000000"/>
                <w:sz w:val="24"/>
                <w:szCs w:val="24"/>
                <w:lang w:val="lv-LV"/>
              </w:rPr>
              <w:t>t ar</w:t>
            </w:r>
            <w:r w:rsidR="00C91D83" w:rsidRPr="00C91D83">
              <w:rPr>
                <w:color w:val="000000"/>
                <w:sz w:val="24"/>
                <w:szCs w:val="24"/>
                <w:lang w:val="lv-LV"/>
              </w:rPr>
              <w:t xml:space="preserve"> Ministru kabineta noteikumi</w:t>
            </w:r>
            <w:r w:rsidR="002A772E">
              <w:rPr>
                <w:color w:val="000000"/>
                <w:sz w:val="24"/>
                <w:szCs w:val="24"/>
                <w:lang w:val="lv-LV"/>
              </w:rPr>
              <w:t>em</w:t>
            </w:r>
            <w:r w:rsidR="00C91D83" w:rsidRPr="00C91D83">
              <w:rPr>
                <w:color w:val="000000"/>
                <w:sz w:val="24"/>
                <w:szCs w:val="24"/>
                <w:lang w:val="lv-LV"/>
              </w:rPr>
              <w:t>.</w:t>
            </w:r>
          </w:p>
          <w:p w14:paraId="19ED360D" w14:textId="77777777" w:rsidR="00C91D83" w:rsidRDefault="00C91D83" w:rsidP="00577BBA">
            <w:pPr>
              <w:spacing w:before="200" w:after="200" w:line="276" w:lineRule="auto"/>
              <w:jc w:val="both"/>
              <w:rPr>
                <w:color w:val="000000"/>
                <w:sz w:val="24"/>
                <w:szCs w:val="24"/>
                <w:lang w:val="lv-LV"/>
              </w:rPr>
            </w:pPr>
            <w:r w:rsidRPr="00C91D83">
              <w:rPr>
                <w:color w:val="000000"/>
                <w:sz w:val="24"/>
                <w:szCs w:val="24"/>
                <w:lang w:val="lv-LV"/>
              </w:rPr>
              <w:t>ĀIPL ieskatā,</w:t>
            </w:r>
            <w:r w:rsidR="00473ED7">
              <w:rPr>
                <w:color w:val="000000"/>
                <w:sz w:val="24"/>
                <w:szCs w:val="24"/>
                <w:lang w:val="lv-LV"/>
              </w:rPr>
              <w:t xml:space="preserve"> kā tas ticis minēts arī „</w:t>
            </w:r>
            <w:r w:rsidR="00473ED7" w:rsidRPr="00473ED7">
              <w:rPr>
                <w:bCs/>
                <w:color w:val="000000"/>
                <w:sz w:val="24"/>
                <w:szCs w:val="24"/>
                <w:lang w:val="lv-LV"/>
              </w:rPr>
              <w:t>Pozīcijas ziņojum</w:t>
            </w:r>
            <w:r w:rsidR="00473ED7">
              <w:rPr>
                <w:bCs/>
                <w:color w:val="000000"/>
                <w:sz w:val="24"/>
                <w:szCs w:val="24"/>
                <w:lang w:val="lv-LV"/>
              </w:rPr>
              <w:t>ā</w:t>
            </w:r>
            <w:r w:rsidR="00473ED7" w:rsidRPr="00473ED7">
              <w:rPr>
                <w:bCs/>
                <w:color w:val="000000"/>
                <w:sz w:val="24"/>
                <w:szCs w:val="24"/>
                <w:lang w:val="lv-LV"/>
              </w:rPr>
              <w:t xml:space="preserve"> par priekšlikumiem tiesu sistēmas efektivitātes veicināšanai</w:t>
            </w:r>
            <w:r w:rsidR="00473ED7">
              <w:rPr>
                <w:bCs/>
                <w:color w:val="000000"/>
                <w:sz w:val="24"/>
                <w:szCs w:val="24"/>
                <w:lang w:val="lv-LV"/>
              </w:rPr>
              <w:t>”,</w:t>
            </w:r>
            <w:r w:rsidRPr="00473ED7">
              <w:rPr>
                <w:color w:val="000000"/>
                <w:sz w:val="24"/>
                <w:szCs w:val="24"/>
                <w:lang w:val="lv-LV"/>
              </w:rPr>
              <w:t xml:space="preserve"> </w:t>
            </w:r>
            <w:r w:rsidRPr="00C91D83">
              <w:rPr>
                <w:color w:val="000000"/>
                <w:sz w:val="24"/>
                <w:szCs w:val="24"/>
                <w:lang w:val="lv-LV"/>
              </w:rPr>
              <w:t>prasībai par obligātām</w:t>
            </w:r>
            <w:r w:rsidR="00615438">
              <w:rPr>
                <w:color w:val="000000"/>
                <w:sz w:val="24"/>
                <w:szCs w:val="24"/>
                <w:lang w:val="lv-LV"/>
              </w:rPr>
              <w:t xml:space="preserve"> potenciālo</w:t>
            </w:r>
            <w:r w:rsidR="000B7E23">
              <w:rPr>
                <w:color w:val="000000"/>
                <w:sz w:val="24"/>
                <w:szCs w:val="24"/>
                <w:lang w:val="lv-LV"/>
              </w:rPr>
              <w:t xml:space="preserve"> šķīrējtiesnešu</w:t>
            </w:r>
            <w:r w:rsidRPr="00C91D83">
              <w:rPr>
                <w:color w:val="000000"/>
                <w:sz w:val="24"/>
                <w:szCs w:val="24"/>
                <w:lang w:val="lv-LV"/>
              </w:rPr>
              <w:t xml:space="preserve"> apmācībām </w:t>
            </w:r>
            <w:r w:rsidR="00473ED7">
              <w:rPr>
                <w:color w:val="000000"/>
                <w:sz w:val="24"/>
                <w:szCs w:val="24"/>
                <w:lang w:val="lv-LV"/>
              </w:rPr>
              <w:t>būtu</w:t>
            </w:r>
            <w:r w:rsidRPr="00C91D83">
              <w:rPr>
                <w:color w:val="000000"/>
                <w:sz w:val="24"/>
                <w:szCs w:val="24"/>
                <w:lang w:val="lv-LV"/>
              </w:rPr>
              <w:t xml:space="preserve"> </w:t>
            </w:r>
            <w:r w:rsidR="00473ED7">
              <w:rPr>
                <w:color w:val="000000"/>
                <w:sz w:val="24"/>
                <w:szCs w:val="24"/>
                <w:lang w:val="lv-LV"/>
              </w:rPr>
              <w:t>jāparedz</w:t>
            </w:r>
            <w:r w:rsidRPr="00C91D83">
              <w:rPr>
                <w:color w:val="000000"/>
                <w:sz w:val="24"/>
                <w:szCs w:val="24"/>
                <w:lang w:val="lv-LV"/>
              </w:rPr>
              <w:t xml:space="preserve"> izņēmumi</w:t>
            </w:r>
            <w:r w:rsidR="00473ED7">
              <w:rPr>
                <w:color w:val="000000"/>
                <w:sz w:val="24"/>
                <w:szCs w:val="24"/>
                <w:lang w:val="lv-LV"/>
              </w:rPr>
              <w:t>.</w:t>
            </w:r>
            <w:r w:rsidRPr="00C91D83">
              <w:rPr>
                <w:color w:val="000000"/>
                <w:sz w:val="24"/>
                <w:szCs w:val="24"/>
                <w:lang w:val="lv-LV"/>
              </w:rPr>
              <w:t xml:space="preserve"> </w:t>
            </w:r>
            <w:r w:rsidR="00473ED7">
              <w:rPr>
                <w:color w:val="000000"/>
                <w:sz w:val="24"/>
                <w:szCs w:val="24"/>
                <w:lang w:val="lv-LV"/>
              </w:rPr>
              <w:t>Ņemot vērā, ka atsevišķam personu lokam</w:t>
            </w:r>
            <w:r w:rsidR="00473ED7" w:rsidRPr="00C91D83">
              <w:rPr>
                <w:color w:val="000000"/>
                <w:sz w:val="24"/>
                <w:szCs w:val="24"/>
                <w:lang w:val="lv-LV"/>
              </w:rPr>
              <w:t xml:space="preserve"> līdzšinējās zināšanas tiesību</w:t>
            </w:r>
            <w:r w:rsidR="00473ED7">
              <w:rPr>
                <w:color w:val="000000"/>
                <w:sz w:val="24"/>
                <w:szCs w:val="24"/>
                <w:lang w:val="lv-LV"/>
              </w:rPr>
              <w:t xml:space="preserve"> </w:t>
            </w:r>
            <w:r w:rsidR="00473ED7" w:rsidRPr="00C91D83">
              <w:rPr>
                <w:color w:val="000000"/>
                <w:sz w:val="24"/>
                <w:szCs w:val="24"/>
                <w:lang w:val="lv-LV"/>
              </w:rPr>
              <w:t>zinātnē</w:t>
            </w:r>
            <w:r w:rsidR="00473ED7">
              <w:rPr>
                <w:color w:val="000000"/>
                <w:sz w:val="24"/>
                <w:szCs w:val="24"/>
                <w:lang w:val="lv-LV"/>
              </w:rPr>
              <w:t xml:space="preserve"> un pieredze efektīva šķīrējtiesas procesa vadīšanā</w:t>
            </w:r>
            <w:r w:rsidR="00473ED7" w:rsidRPr="00C91D83">
              <w:rPr>
                <w:color w:val="000000"/>
                <w:sz w:val="24"/>
                <w:szCs w:val="24"/>
                <w:lang w:val="lv-LV"/>
              </w:rPr>
              <w:t xml:space="preserve"> </w:t>
            </w:r>
            <w:r w:rsidR="00473ED7">
              <w:rPr>
                <w:color w:val="000000"/>
                <w:sz w:val="24"/>
                <w:szCs w:val="24"/>
                <w:lang w:val="lv-LV"/>
              </w:rPr>
              <w:t>var būt</w:t>
            </w:r>
            <w:r w:rsidR="00473ED7" w:rsidRPr="00C91D83">
              <w:rPr>
                <w:color w:val="000000"/>
                <w:sz w:val="24"/>
                <w:szCs w:val="24"/>
                <w:lang w:val="lv-LV"/>
              </w:rPr>
              <w:t xml:space="preserve"> pietiekam</w:t>
            </w:r>
            <w:r w:rsidR="00473ED7">
              <w:rPr>
                <w:color w:val="000000"/>
                <w:sz w:val="24"/>
                <w:szCs w:val="24"/>
                <w:lang w:val="lv-LV"/>
              </w:rPr>
              <w:t>a</w:t>
            </w:r>
            <w:r w:rsidR="00473ED7" w:rsidRPr="00C91D83">
              <w:rPr>
                <w:color w:val="000000"/>
                <w:sz w:val="24"/>
                <w:szCs w:val="24"/>
                <w:lang w:val="lv-LV"/>
              </w:rPr>
              <w:t>s</w:t>
            </w:r>
            <w:r w:rsidRPr="00C91D83">
              <w:rPr>
                <w:color w:val="000000"/>
                <w:sz w:val="24"/>
                <w:szCs w:val="24"/>
                <w:lang w:val="lv-LV"/>
              </w:rPr>
              <w:t xml:space="preserve">, </w:t>
            </w:r>
            <w:r w:rsidR="00473ED7">
              <w:rPr>
                <w:color w:val="000000"/>
                <w:sz w:val="24"/>
                <w:szCs w:val="24"/>
                <w:lang w:val="lv-LV"/>
              </w:rPr>
              <w:t>piemēram, personām</w:t>
            </w:r>
            <w:r w:rsidRPr="00C91D83">
              <w:rPr>
                <w:color w:val="000000"/>
                <w:sz w:val="24"/>
                <w:szCs w:val="24"/>
                <w:lang w:val="lv-LV"/>
              </w:rPr>
              <w:t xml:space="preserve"> </w:t>
            </w:r>
            <w:r w:rsidR="00473ED7">
              <w:rPr>
                <w:color w:val="000000"/>
                <w:sz w:val="24"/>
                <w:szCs w:val="24"/>
                <w:lang w:val="lv-LV"/>
              </w:rPr>
              <w:t>ar</w:t>
            </w:r>
            <w:r w:rsidRPr="00C91D83">
              <w:rPr>
                <w:color w:val="000000"/>
                <w:sz w:val="24"/>
                <w:szCs w:val="24"/>
                <w:lang w:val="lv-LV"/>
              </w:rPr>
              <w:t xml:space="preserve"> doktora grād</w:t>
            </w:r>
            <w:r w:rsidR="00473ED7">
              <w:rPr>
                <w:color w:val="000000"/>
                <w:sz w:val="24"/>
                <w:szCs w:val="24"/>
                <w:lang w:val="lv-LV"/>
              </w:rPr>
              <w:t>u</w:t>
            </w:r>
            <w:r w:rsidRPr="00C91D83">
              <w:rPr>
                <w:color w:val="000000"/>
                <w:sz w:val="24"/>
                <w:szCs w:val="24"/>
                <w:lang w:val="lv-LV"/>
              </w:rPr>
              <w:t xml:space="preserve"> tiesību zinātnē, tiesneša,</w:t>
            </w:r>
            <w:r>
              <w:rPr>
                <w:color w:val="000000"/>
                <w:sz w:val="24"/>
                <w:szCs w:val="24"/>
                <w:lang w:val="lv-LV"/>
              </w:rPr>
              <w:t xml:space="preserve"> </w:t>
            </w:r>
            <w:r w:rsidRPr="00C91D83">
              <w:rPr>
                <w:color w:val="000000"/>
                <w:sz w:val="24"/>
                <w:szCs w:val="24"/>
                <w:lang w:val="lv-LV"/>
              </w:rPr>
              <w:t>advok</w:t>
            </w:r>
            <w:r w:rsidR="00473ED7">
              <w:rPr>
                <w:color w:val="000000"/>
                <w:sz w:val="24"/>
                <w:szCs w:val="24"/>
                <w:lang w:val="lv-LV"/>
              </w:rPr>
              <w:t>āta, prokurora vai šķīrējtiesneša darba pieredzi</w:t>
            </w:r>
            <w:r w:rsidRPr="00C91D83">
              <w:rPr>
                <w:color w:val="000000"/>
                <w:sz w:val="24"/>
                <w:szCs w:val="24"/>
                <w:lang w:val="lv-LV"/>
              </w:rPr>
              <w:t xml:space="preserve"> u.tml.</w:t>
            </w:r>
            <w:r w:rsidR="00473ED7">
              <w:rPr>
                <w:color w:val="000000"/>
                <w:sz w:val="24"/>
                <w:szCs w:val="24"/>
                <w:lang w:val="lv-LV"/>
              </w:rPr>
              <w:t>,</w:t>
            </w:r>
            <w:r w:rsidRPr="00C91D83">
              <w:rPr>
                <w:color w:val="000000"/>
                <w:sz w:val="24"/>
                <w:szCs w:val="24"/>
                <w:lang w:val="lv-LV"/>
              </w:rPr>
              <w:t xml:space="preserve"> </w:t>
            </w:r>
            <w:r w:rsidR="00E9753B">
              <w:rPr>
                <w:color w:val="000000"/>
                <w:sz w:val="24"/>
                <w:szCs w:val="24"/>
                <w:lang w:val="lv-LV"/>
              </w:rPr>
              <w:t xml:space="preserve">tad </w:t>
            </w:r>
            <w:r w:rsidR="00122309">
              <w:rPr>
                <w:color w:val="000000"/>
                <w:sz w:val="24"/>
                <w:szCs w:val="24"/>
                <w:lang w:val="lv-LV"/>
              </w:rPr>
              <w:t xml:space="preserve">attiecībā uz šādām personām prasības obligāti </w:t>
            </w:r>
            <w:r w:rsidR="00473ED7">
              <w:rPr>
                <w:color w:val="000000"/>
                <w:sz w:val="24"/>
                <w:szCs w:val="24"/>
                <w:lang w:val="lv-LV"/>
              </w:rPr>
              <w:t xml:space="preserve">noklausīties apmācību kursu, kārtot kvalifikācijas eksāmenu un veikt sertificēšanos </w:t>
            </w:r>
            <w:r w:rsidR="002C3764">
              <w:rPr>
                <w:color w:val="000000"/>
                <w:sz w:val="24"/>
                <w:szCs w:val="24"/>
                <w:lang w:val="lv-LV"/>
              </w:rPr>
              <w:t>samērīgu</w:t>
            </w:r>
            <w:r w:rsidR="00EE3D94">
              <w:rPr>
                <w:color w:val="000000"/>
                <w:sz w:val="24"/>
                <w:szCs w:val="24"/>
                <w:lang w:val="lv-LV"/>
              </w:rPr>
              <w:t>ms</w:t>
            </w:r>
            <w:r w:rsidR="002C3764">
              <w:rPr>
                <w:color w:val="000000"/>
                <w:sz w:val="24"/>
                <w:szCs w:val="24"/>
                <w:lang w:val="lv-LV"/>
              </w:rPr>
              <w:t xml:space="preserve"> un atbilst</w:t>
            </w:r>
            <w:r w:rsidR="00EE3D94">
              <w:rPr>
                <w:color w:val="000000"/>
                <w:sz w:val="24"/>
                <w:szCs w:val="24"/>
                <w:lang w:val="lv-LV"/>
              </w:rPr>
              <w:t>ība</w:t>
            </w:r>
            <w:r w:rsidR="002C3764">
              <w:rPr>
                <w:color w:val="000000"/>
                <w:sz w:val="24"/>
                <w:szCs w:val="24"/>
                <w:lang w:val="lv-LV"/>
              </w:rPr>
              <w:t xml:space="preserve"> vispārpieņemtai starptautiskai praksei</w:t>
            </w:r>
            <w:r w:rsidR="00EE3D94">
              <w:rPr>
                <w:color w:val="000000"/>
                <w:sz w:val="24"/>
                <w:szCs w:val="24"/>
                <w:lang w:val="lv-LV"/>
              </w:rPr>
              <w:t xml:space="preserve"> ir vērtējam</w:t>
            </w:r>
            <w:r w:rsidR="00122309">
              <w:rPr>
                <w:color w:val="000000"/>
                <w:sz w:val="24"/>
                <w:szCs w:val="24"/>
                <w:lang w:val="lv-LV"/>
              </w:rPr>
              <w:t>a</w:t>
            </w:r>
            <w:r w:rsidR="00EE3D94">
              <w:rPr>
                <w:color w:val="000000"/>
                <w:sz w:val="24"/>
                <w:szCs w:val="24"/>
                <w:lang w:val="lv-LV"/>
              </w:rPr>
              <w:t xml:space="preserve"> kritiski</w:t>
            </w:r>
            <w:r w:rsidRPr="00C91D83">
              <w:rPr>
                <w:color w:val="000000"/>
                <w:sz w:val="24"/>
                <w:szCs w:val="24"/>
                <w:lang w:val="lv-LV"/>
              </w:rPr>
              <w:t>.</w:t>
            </w:r>
          </w:p>
          <w:p w14:paraId="3C3F47A5" w14:textId="77777777" w:rsidR="00C91D83" w:rsidRPr="00C91D83" w:rsidRDefault="002C3764" w:rsidP="00F9070D">
            <w:pPr>
              <w:spacing w:before="200" w:after="200" w:line="276" w:lineRule="auto"/>
              <w:jc w:val="both"/>
              <w:rPr>
                <w:color w:val="000000"/>
                <w:sz w:val="24"/>
                <w:szCs w:val="24"/>
                <w:lang w:val="lv-LV"/>
              </w:rPr>
            </w:pPr>
            <w:r>
              <w:rPr>
                <w:color w:val="000000"/>
                <w:sz w:val="24"/>
                <w:szCs w:val="24"/>
                <w:lang w:val="lv-LV"/>
              </w:rPr>
              <w:t>Vienlaikus jāuzsver, ka saskaņā ar</w:t>
            </w:r>
            <w:r w:rsidR="00C91D83" w:rsidRPr="00C91D83">
              <w:rPr>
                <w:color w:val="000000"/>
                <w:sz w:val="24"/>
                <w:szCs w:val="24"/>
                <w:lang w:val="lv-LV"/>
              </w:rPr>
              <w:t xml:space="preserve"> p</w:t>
            </w:r>
            <w:r>
              <w:rPr>
                <w:color w:val="000000"/>
                <w:sz w:val="24"/>
                <w:szCs w:val="24"/>
                <w:lang w:val="lv-LV"/>
              </w:rPr>
              <w:t>ušu līguma brīvības principu būtu ieteicams noteikt</w:t>
            </w:r>
            <w:r w:rsidR="00C91D83" w:rsidRPr="00C91D83">
              <w:rPr>
                <w:color w:val="000000"/>
                <w:sz w:val="24"/>
                <w:szCs w:val="24"/>
                <w:lang w:val="lv-LV"/>
              </w:rPr>
              <w:t>, ka puses</w:t>
            </w:r>
            <w:r w:rsidR="00F9070D">
              <w:rPr>
                <w:color w:val="000000"/>
                <w:sz w:val="24"/>
                <w:szCs w:val="24"/>
                <w:lang w:val="lv-LV"/>
              </w:rPr>
              <w:t xml:space="preserve"> v</w:t>
            </w:r>
            <w:r>
              <w:rPr>
                <w:color w:val="000000"/>
                <w:sz w:val="24"/>
                <w:szCs w:val="24"/>
                <w:lang w:val="lv-LV"/>
              </w:rPr>
              <w:t xml:space="preserve">ismaz </w:t>
            </w:r>
            <w:r w:rsidR="00F9070D">
              <w:rPr>
                <w:color w:val="000000"/>
                <w:sz w:val="24"/>
                <w:szCs w:val="24"/>
                <w:lang w:val="lv-LV"/>
              </w:rPr>
              <w:t>gadījumā, ja tās ir komersanti,</w:t>
            </w:r>
            <w:r w:rsidR="00C91D83" w:rsidRPr="00C91D83">
              <w:rPr>
                <w:color w:val="000000"/>
                <w:sz w:val="24"/>
                <w:szCs w:val="24"/>
                <w:lang w:val="lv-LV"/>
              </w:rPr>
              <w:t xml:space="preserve"> var</w:t>
            </w:r>
            <w:r w:rsidR="00C91D83">
              <w:rPr>
                <w:color w:val="000000"/>
                <w:sz w:val="24"/>
                <w:szCs w:val="24"/>
                <w:lang w:val="lv-LV"/>
              </w:rPr>
              <w:t xml:space="preserve"> </w:t>
            </w:r>
            <w:r w:rsidR="00C91D83" w:rsidRPr="00C91D83">
              <w:rPr>
                <w:color w:val="000000"/>
                <w:sz w:val="24"/>
                <w:szCs w:val="24"/>
                <w:lang w:val="lv-LV"/>
              </w:rPr>
              <w:t>vienoties par atkāpšanos no likumā noteiktajām prasībām šķīrējtiesnesim</w:t>
            </w:r>
            <w:r>
              <w:rPr>
                <w:color w:val="000000"/>
                <w:sz w:val="24"/>
                <w:szCs w:val="24"/>
                <w:lang w:val="lv-LV"/>
              </w:rPr>
              <w:t xml:space="preserve"> un ka šāda iespēja var tikt paredzēta pastāvīgās šķīrējtiesas reglamentā</w:t>
            </w:r>
            <w:r w:rsidR="00C91D83" w:rsidRPr="00C91D83">
              <w:rPr>
                <w:color w:val="000000"/>
                <w:sz w:val="24"/>
                <w:szCs w:val="24"/>
                <w:lang w:val="lv-LV"/>
              </w:rPr>
              <w:t xml:space="preserve">, </w:t>
            </w:r>
            <w:r w:rsidR="00F9070D">
              <w:rPr>
                <w:color w:val="000000"/>
                <w:sz w:val="24"/>
                <w:szCs w:val="24"/>
                <w:lang w:val="lv-LV"/>
              </w:rPr>
              <w:t>ņemot vērā, ka</w:t>
            </w:r>
            <w:r w:rsidR="00C91D83" w:rsidRPr="00C91D83">
              <w:rPr>
                <w:color w:val="000000"/>
                <w:sz w:val="24"/>
                <w:szCs w:val="24"/>
                <w:lang w:val="lv-LV"/>
              </w:rPr>
              <w:t xml:space="preserve"> puses</w:t>
            </w:r>
            <w:r w:rsidR="00F9070D">
              <w:rPr>
                <w:color w:val="000000"/>
                <w:sz w:val="24"/>
                <w:szCs w:val="24"/>
                <w:lang w:val="lv-LV"/>
              </w:rPr>
              <w:t xml:space="preserve"> var</w:t>
            </w:r>
            <w:r w:rsidR="00C91D83" w:rsidRPr="00C91D83">
              <w:rPr>
                <w:color w:val="000000"/>
                <w:sz w:val="24"/>
                <w:szCs w:val="24"/>
                <w:lang w:val="lv-LV"/>
              </w:rPr>
              <w:t>, piemēram, vēl</w:t>
            </w:r>
            <w:r w:rsidR="00F9070D">
              <w:rPr>
                <w:color w:val="000000"/>
                <w:sz w:val="24"/>
                <w:szCs w:val="24"/>
                <w:lang w:val="lv-LV"/>
              </w:rPr>
              <w:t>ēties</w:t>
            </w:r>
            <w:r w:rsidR="00C91D83" w:rsidRPr="00C91D83">
              <w:rPr>
                <w:color w:val="000000"/>
                <w:sz w:val="24"/>
                <w:szCs w:val="24"/>
                <w:lang w:val="lv-LV"/>
              </w:rPr>
              <w:t xml:space="preserve"> </w:t>
            </w:r>
            <w:r w:rsidRPr="00C91D83">
              <w:rPr>
                <w:color w:val="000000"/>
                <w:sz w:val="24"/>
                <w:szCs w:val="24"/>
                <w:lang w:val="lv-LV"/>
              </w:rPr>
              <w:t xml:space="preserve">kā šķīrējtiesnesi </w:t>
            </w:r>
            <w:r w:rsidR="00C91D83" w:rsidRPr="00C91D83">
              <w:rPr>
                <w:color w:val="000000"/>
                <w:sz w:val="24"/>
                <w:szCs w:val="24"/>
                <w:lang w:val="lv-LV"/>
              </w:rPr>
              <w:t>piesaistīt starptautiski</w:t>
            </w:r>
            <w:r w:rsidR="00C91D83">
              <w:rPr>
                <w:color w:val="000000"/>
                <w:sz w:val="24"/>
                <w:szCs w:val="24"/>
                <w:lang w:val="lv-LV"/>
              </w:rPr>
              <w:t xml:space="preserve"> </w:t>
            </w:r>
            <w:r w:rsidR="00C91D83" w:rsidRPr="00C91D83">
              <w:rPr>
                <w:color w:val="000000"/>
                <w:sz w:val="24"/>
                <w:szCs w:val="24"/>
                <w:lang w:val="lv-LV"/>
              </w:rPr>
              <w:t>atzītu speciālistu, kas neatbilst kādai no</w:t>
            </w:r>
            <w:r>
              <w:rPr>
                <w:color w:val="000000"/>
                <w:sz w:val="24"/>
                <w:szCs w:val="24"/>
                <w:lang w:val="lv-LV"/>
              </w:rPr>
              <w:t xml:space="preserve"> pašlaik paredzētajām formālajām prasībām. Šāds izņēmums būtu nosakāms jo</w:t>
            </w:r>
            <w:r w:rsidR="00C91D83" w:rsidRPr="00C91D83">
              <w:rPr>
                <w:color w:val="000000"/>
                <w:sz w:val="24"/>
                <w:szCs w:val="24"/>
                <w:lang w:val="lv-LV"/>
              </w:rPr>
              <w:t xml:space="preserve"> īpaši ņemot vērā</w:t>
            </w:r>
            <w:r>
              <w:rPr>
                <w:color w:val="000000"/>
                <w:sz w:val="24"/>
                <w:szCs w:val="24"/>
                <w:lang w:val="lv-LV"/>
              </w:rPr>
              <w:t xml:space="preserve"> to</w:t>
            </w:r>
            <w:r w:rsidR="00C91D83" w:rsidRPr="00C91D83">
              <w:rPr>
                <w:color w:val="000000"/>
                <w:sz w:val="24"/>
                <w:szCs w:val="24"/>
                <w:lang w:val="lv-LV"/>
              </w:rPr>
              <w:t>, ka iespēja</w:t>
            </w:r>
            <w:r w:rsidR="00C91D83">
              <w:rPr>
                <w:color w:val="000000"/>
                <w:sz w:val="24"/>
                <w:szCs w:val="24"/>
                <w:lang w:val="lv-LV"/>
              </w:rPr>
              <w:t xml:space="preserve"> </w:t>
            </w:r>
            <w:r w:rsidR="00C91D83" w:rsidRPr="00C91D83">
              <w:rPr>
                <w:color w:val="000000"/>
                <w:sz w:val="24"/>
                <w:szCs w:val="24"/>
                <w:lang w:val="lv-LV"/>
              </w:rPr>
              <w:t>izvēlēties konkr</w:t>
            </w:r>
            <w:r w:rsidR="00C91D83">
              <w:rPr>
                <w:color w:val="000000"/>
                <w:sz w:val="24"/>
                <w:szCs w:val="24"/>
                <w:lang w:val="lv-LV"/>
              </w:rPr>
              <w:t xml:space="preserve">ētā jautājuma izšķiršanai </w:t>
            </w:r>
            <w:r>
              <w:rPr>
                <w:color w:val="000000"/>
                <w:sz w:val="24"/>
                <w:szCs w:val="24"/>
                <w:lang w:val="lv-LV"/>
              </w:rPr>
              <w:t>konkrētu un nozarē atzītu</w:t>
            </w:r>
            <w:r w:rsidR="00C91D83" w:rsidRPr="00C91D83">
              <w:rPr>
                <w:color w:val="000000"/>
                <w:sz w:val="24"/>
                <w:szCs w:val="24"/>
                <w:lang w:val="lv-LV"/>
              </w:rPr>
              <w:t xml:space="preserve"> speciālistu kā šķīrējtiesnesi</w:t>
            </w:r>
            <w:r w:rsidR="00C91D83">
              <w:rPr>
                <w:color w:val="000000"/>
                <w:sz w:val="24"/>
                <w:szCs w:val="24"/>
                <w:lang w:val="lv-LV"/>
              </w:rPr>
              <w:t xml:space="preserve"> </w:t>
            </w:r>
            <w:r>
              <w:rPr>
                <w:color w:val="000000"/>
                <w:sz w:val="24"/>
                <w:szCs w:val="24"/>
                <w:lang w:val="lv-LV"/>
              </w:rPr>
              <w:t xml:space="preserve">ir būtiska </w:t>
            </w:r>
            <w:r w:rsidR="00C91D83" w:rsidRPr="00C91D83">
              <w:rPr>
                <w:color w:val="000000"/>
                <w:sz w:val="24"/>
                <w:szCs w:val="24"/>
                <w:lang w:val="lv-LV"/>
              </w:rPr>
              <w:t>šķīrējtiesas priekšrocība</w:t>
            </w:r>
            <w:r>
              <w:rPr>
                <w:color w:val="000000"/>
                <w:sz w:val="24"/>
                <w:szCs w:val="24"/>
                <w:lang w:val="lv-LV"/>
              </w:rPr>
              <w:t>,</w:t>
            </w:r>
            <w:r w:rsidR="00C91D83" w:rsidRPr="00C91D83">
              <w:rPr>
                <w:color w:val="000000"/>
                <w:sz w:val="24"/>
                <w:szCs w:val="24"/>
                <w:lang w:val="lv-LV"/>
              </w:rPr>
              <w:t xml:space="preserve"> </w:t>
            </w:r>
            <w:r>
              <w:rPr>
                <w:color w:val="000000"/>
                <w:sz w:val="24"/>
                <w:szCs w:val="24"/>
                <w:lang w:val="lv-LV"/>
              </w:rPr>
              <w:t>salīdzinot ar</w:t>
            </w:r>
            <w:r w:rsidR="00C91D83" w:rsidRPr="00C91D83">
              <w:rPr>
                <w:color w:val="000000"/>
                <w:sz w:val="24"/>
                <w:szCs w:val="24"/>
                <w:lang w:val="lv-LV"/>
              </w:rPr>
              <w:t xml:space="preserve"> strīda izšķiršan</w:t>
            </w:r>
            <w:r>
              <w:rPr>
                <w:color w:val="000000"/>
                <w:sz w:val="24"/>
                <w:szCs w:val="24"/>
                <w:lang w:val="lv-LV"/>
              </w:rPr>
              <w:t>u</w:t>
            </w:r>
            <w:r w:rsidR="00C91D83" w:rsidRPr="00C91D83">
              <w:rPr>
                <w:color w:val="000000"/>
                <w:sz w:val="24"/>
                <w:szCs w:val="24"/>
                <w:lang w:val="lv-LV"/>
              </w:rPr>
              <w:t xml:space="preserve"> vispārējās</w:t>
            </w:r>
            <w:r w:rsidR="00C91D83">
              <w:rPr>
                <w:color w:val="000000"/>
                <w:sz w:val="24"/>
                <w:szCs w:val="24"/>
                <w:lang w:val="lv-LV"/>
              </w:rPr>
              <w:t xml:space="preserve"> </w:t>
            </w:r>
            <w:r>
              <w:rPr>
                <w:color w:val="000000"/>
                <w:sz w:val="24"/>
                <w:szCs w:val="24"/>
                <w:lang w:val="lv-LV"/>
              </w:rPr>
              <w:t xml:space="preserve">jurisdikcijas tiesā, kā arī fundamentāls priekšnoteikums šķīrējtiesas kā alternatīva strīdu risināšanas mehānisma elastības </w:t>
            </w:r>
            <w:r w:rsidR="00F9070D">
              <w:rPr>
                <w:color w:val="000000"/>
                <w:sz w:val="24"/>
                <w:szCs w:val="24"/>
                <w:lang w:val="lv-LV"/>
              </w:rPr>
              <w:t>saglabāšanai</w:t>
            </w:r>
            <w:r w:rsidR="00C91D83" w:rsidRPr="00C91D83">
              <w:rPr>
                <w:color w:val="000000"/>
                <w:sz w:val="24"/>
                <w:szCs w:val="24"/>
                <w:lang w:val="lv-LV"/>
              </w:rPr>
              <w:t>.</w:t>
            </w:r>
          </w:p>
        </w:tc>
      </w:tr>
    </w:tbl>
    <w:p w14:paraId="0A8EC6E4" w14:textId="77777777" w:rsidR="00C75A8D" w:rsidRPr="00946F6F" w:rsidRDefault="00C75A8D" w:rsidP="000F6998">
      <w:pPr>
        <w:spacing w:line="276" w:lineRule="auto"/>
        <w:jc w:val="both"/>
        <w:rPr>
          <w:sz w:val="24"/>
          <w:szCs w:val="24"/>
          <w:lang w:val="lv-LV"/>
        </w:rPr>
      </w:pPr>
    </w:p>
    <w:sectPr w:rsidR="00C75A8D" w:rsidRPr="00946F6F" w:rsidSect="003222AC">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5" w:h="16837"/>
      <w:pgMar w:top="567" w:right="991" w:bottom="1560" w:left="1134" w:header="720"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21F4A" w14:textId="77777777" w:rsidR="004F458F" w:rsidRDefault="004F458F">
      <w:pPr>
        <w:rPr>
          <w:szCs w:val="24"/>
        </w:rPr>
      </w:pPr>
      <w:r>
        <w:rPr>
          <w:szCs w:val="24"/>
        </w:rPr>
        <w:separator/>
      </w:r>
    </w:p>
  </w:endnote>
  <w:endnote w:type="continuationSeparator" w:id="0">
    <w:p w14:paraId="219DFB4F" w14:textId="77777777" w:rsidR="004F458F" w:rsidRDefault="004F458F">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ejaVu Sans">
    <w:altName w:val="Arial"/>
    <w:charset w:val="BA"/>
    <w:family w:val="swiss"/>
    <w:pitch w:val="variable"/>
    <w:sig w:usb0="E7002EFF" w:usb1="D200FDFF" w:usb2="0A24602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Verdana">
    <w:panose1 w:val="020B0604030504040204"/>
    <w:charset w:val="BA"/>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8B205" w14:textId="77777777" w:rsidR="00CC6BBC" w:rsidRDefault="00CC6BBC">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0F4388">
      <w:rPr>
        <w:rStyle w:val="PageNumber"/>
        <w:noProof/>
        <w:szCs w:val="24"/>
      </w:rPr>
      <w:t>16</w:t>
    </w:r>
    <w:r>
      <w:rPr>
        <w:rStyle w:val="PageNumber"/>
        <w:szCs w:val="24"/>
      </w:rPr>
      <w:fldChar w:fldCharType="end"/>
    </w:r>
  </w:p>
  <w:p w14:paraId="226228E8" w14:textId="77777777" w:rsidR="00CC6BBC" w:rsidRDefault="00CC6BBC">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508D0" w14:textId="77777777" w:rsidR="00CC6BBC" w:rsidRPr="003966EA" w:rsidRDefault="00CC6BBC">
    <w:pPr>
      <w:pStyle w:val="Footer"/>
      <w:framePr w:wrap="around" w:vAnchor="text" w:hAnchor="margin" w:xAlign="right" w:y="1"/>
      <w:rPr>
        <w:rStyle w:val="PageNumber"/>
        <w:rFonts w:ascii="Times New Roman" w:hAnsi="Times New Roman"/>
        <w:sz w:val="20"/>
        <w:szCs w:val="24"/>
      </w:rPr>
    </w:pPr>
    <w:r w:rsidRPr="003966EA">
      <w:rPr>
        <w:rStyle w:val="PageNumber"/>
        <w:rFonts w:ascii="Times New Roman" w:hAnsi="Times New Roman"/>
        <w:sz w:val="20"/>
        <w:szCs w:val="24"/>
      </w:rPr>
      <w:fldChar w:fldCharType="begin"/>
    </w:r>
    <w:r w:rsidRPr="003966EA">
      <w:rPr>
        <w:rStyle w:val="PageNumber"/>
        <w:rFonts w:ascii="Times New Roman" w:hAnsi="Times New Roman"/>
        <w:sz w:val="20"/>
        <w:szCs w:val="24"/>
      </w:rPr>
      <w:instrText xml:space="preserve">PAGE  </w:instrText>
    </w:r>
    <w:r w:rsidRPr="003966EA">
      <w:rPr>
        <w:rStyle w:val="PageNumber"/>
        <w:rFonts w:ascii="Times New Roman" w:hAnsi="Times New Roman"/>
        <w:sz w:val="20"/>
        <w:szCs w:val="24"/>
      </w:rPr>
      <w:fldChar w:fldCharType="separate"/>
    </w:r>
    <w:r w:rsidR="006A6E00">
      <w:rPr>
        <w:rStyle w:val="PageNumber"/>
        <w:rFonts w:ascii="Times New Roman" w:hAnsi="Times New Roman"/>
        <w:noProof/>
        <w:sz w:val="20"/>
        <w:szCs w:val="24"/>
      </w:rPr>
      <w:t>2</w:t>
    </w:r>
    <w:r w:rsidRPr="003966EA">
      <w:rPr>
        <w:rStyle w:val="PageNumber"/>
        <w:rFonts w:ascii="Times New Roman" w:hAnsi="Times New Roman"/>
        <w:sz w:val="20"/>
        <w:szCs w:val="24"/>
      </w:rPr>
      <w:fldChar w:fldCharType="end"/>
    </w:r>
    <w:r w:rsidR="003222AC">
      <w:rPr>
        <w:rStyle w:val="PageNumber"/>
        <w:rFonts w:ascii="Times New Roman" w:hAnsi="Times New Roman"/>
        <w:sz w:val="20"/>
        <w:szCs w:val="24"/>
      </w:rPr>
      <w:t xml:space="preserve"> (16)</w:t>
    </w:r>
  </w:p>
  <w:p w14:paraId="50FFF57E" w14:textId="77777777" w:rsidR="003222AC" w:rsidRDefault="003222AC" w:rsidP="003222AC">
    <w:pPr>
      <w:ind w:right="360"/>
      <w:rPr>
        <w:noProof/>
        <w:szCs w:val="24"/>
      </w:rPr>
    </w:pPr>
    <w:r>
      <w:rPr>
        <w:szCs w:val="24"/>
        <w:lang w:val="en-GB"/>
      </w:rPr>
      <w:t xml:space="preserve">Ārvalstu investoru padome Latvijā </w:t>
    </w:r>
  </w:p>
  <w:p w14:paraId="0679CC20" w14:textId="77777777" w:rsidR="003222AC" w:rsidRDefault="003222AC" w:rsidP="003222AC">
    <w:pPr>
      <w:rPr>
        <w:noProof/>
        <w:szCs w:val="24"/>
      </w:rPr>
    </w:pPr>
    <w:r>
      <w:rPr>
        <w:szCs w:val="24"/>
        <w:lang w:val="en-GB"/>
      </w:rPr>
      <w:t>Tālr.: + 371 67217201; e</w:t>
    </w:r>
    <w:r>
      <w:rPr>
        <w:szCs w:val="24"/>
        <w:lang w:val="en-GB"/>
      </w:rPr>
      <w:noBreakHyphen/>
      <w:t xml:space="preserve">pasts: </w:t>
    </w:r>
    <w:hyperlink r:id="rId1" w:history="1">
      <w:r>
        <w:rPr>
          <w:rStyle w:val="Hyperlink"/>
          <w:szCs w:val="24"/>
          <w:lang w:val="en-GB"/>
        </w:rPr>
        <w:t>ficil@ficil.lv</w:t>
      </w:r>
    </w:hyperlink>
  </w:p>
  <w:p w14:paraId="0998A9F1" w14:textId="77777777" w:rsidR="003222AC" w:rsidRDefault="003222AC" w:rsidP="003222AC">
    <w:pPr>
      <w:rPr>
        <w:szCs w:val="24"/>
        <w:lang w:val="en-GB"/>
      </w:rPr>
    </w:pPr>
    <w:r>
      <w:rPr>
        <w:szCs w:val="24"/>
        <w:lang w:val="en-GB"/>
      </w:rPr>
      <w:t xml:space="preserve">Tīmeklī: </w:t>
    </w:r>
    <w:hyperlink r:id="rId2" w:history="1">
      <w:r>
        <w:rPr>
          <w:rStyle w:val="Hyperlink"/>
          <w:szCs w:val="24"/>
          <w:lang w:val="en-GB"/>
        </w:rPr>
        <w:t>www.ficil.lv</w:t>
      </w:r>
    </w:hyperlink>
  </w:p>
  <w:p w14:paraId="40BC2C83" w14:textId="77777777" w:rsidR="00CC6BBC" w:rsidRPr="003966EA" w:rsidRDefault="00CC6BBC">
    <w:pPr>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E638D" w14:textId="77777777" w:rsidR="00CC6BBC" w:rsidRPr="003966EA" w:rsidRDefault="00CC6BBC" w:rsidP="009F5A98">
    <w:pPr>
      <w:ind w:right="360"/>
      <w:rPr>
        <w:noProof/>
        <w:szCs w:val="24"/>
      </w:rPr>
    </w:pPr>
    <w:r w:rsidRPr="003966EA">
      <w:rPr>
        <w:szCs w:val="24"/>
        <w:lang w:val="lv-LV"/>
      </w:rPr>
      <w:t>Ārvalstu investoru padome Latvijā</w:t>
    </w:r>
  </w:p>
  <w:p w14:paraId="184DEC5F" w14:textId="77777777" w:rsidR="00CC6BBC" w:rsidRPr="003966EA" w:rsidRDefault="00CC6BBC" w:rsidP="009F5A98">
    <w:pPr>
      <w:rPr>
        <w:noProof/>
        <w:szCs w:val="24"/>
      </w:rPr>
    </w:pPr>
    <w:r w:rsidRPr="003966EA">
      <w:rPr>
        <w:noProof/>
        <w:szCs w:val="24"/>
      </w:rPr>
      <w:t>Tālr.: +371 67217201; e</w:t>
    </w:r>
    <w:r w:rsidRPr="003966EA">
      <w:rPr>
        <w:noProof/>
        <w:szCs w:val="24"/>
      </w:rPr>
      <w:noBreakHyphen/>
      <w:t xml:space="preserve">pasts: </w:t>
    </w:r>
    <w:hyperlink r:id="rId1" w:history="1">
      <w:r w:rsidRPr="003966EA">
        <w:rPr>
          <w:rStyle w:val="Hyperlink"/>
          <w:szCs w:val="24"/>
        </w:rPr>
        <w:t>ficil@ficil.lv</w:t>
      </w:r>
    </w:hyperlink>
  </w:p>
  <w:p w14:paraId="0071AB51" w14:textId="77777777" w:rsidR="00CC6BBC" w:rsidRPr="009F5A98" w:rsidRDefault="00CC6BBC" w:rsidP="009F5A98">
    <w:pPr>
      <w:pStyle w:val="Footer"/>
      <w:rPr>
        <w:rFonts w:ascii="Times New Roman" w:hAnsi="Times New Roman"/>
        <w:sz w:val="20"/>
      </w:rPr>
    </w:pPr>
    <w:r w:rsidRPr="009F5A98">
      <w:rPr>
        <w:rFonts w:ascii="Times New Roman" w:hAnsi="Times New Roman"/>
        <w:noProof/>
        <w:sz w:val="20"/>
      </w:rPr>
      <w:t xml:space="preserve">Tīmeklī: </w:t>
    </w:r>
    <w:hyperlink r:id="rId2" w:history="1">
      <w:r w:rsidRPr="009F5A98">
        <w:rPr>
          <w:rStyle w:val="Hyperlink"/>
          <w:rFonts w:ascii="Times New Roman" w:hAnsi="Times New Roman"/>
          <w:sz w:val="20"/>
        </w:rPr>
        <w:t>www.ficil.lv</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ABDFC" w14:textId="77777777" w:rsidR="004F458F" w:rsidRDefault="004F458F">
      <w:pPr>
        <w:rPr>
          <w:szCs w:val="24"/>
        </w:rPr>
      </w:pPr>
      <w:r>
        <w:rPr>
          <w:szCs w:val="24"/>
        </w:rPr>
        <w:separator/>
      </w:r>
    </w:p>
  </w:footnote>
  <w:footnote w:type="continuationSeparator" w:id="0">
    <w:p w14:paraId="692ACE22" w14:textId="77777777" w:rsidR="004F458F" w:rsidRDefault="004F458F">
      <w:pPr>
        <w:rPr>
          <w:szCs w:val="24"/>
        </w:rPr>
      </w:pPr>
      <w:r>
        <w:rPr>
          <w:szCs w:val="24"/>
        </w:rPr>
        <w:continuationSeparator/>
      </w:r>
    </w:p>
  </w:footnote>
  <w:footnote w:id="1">
    <w:p w14:paraId="150C5887" w14:textId="77777777" w:rsidR="00CC6BBC" w:rsidRPr="00C47BF8" w:rsidRDefault="00CC6BBC" w:rsidP="00814DBD">
      <w:pPr>
        <w:pStyle w:val="FootnoteText"/>
        <w:ind w:left="0" w:firstLine="0"/>
        <w:contextualSpacing/>
        <w:jc w:val="both"/>
        <w:rPr>
          <w:lang w:val="lv-LV"/>
        </w:rPr>
      </w:pPr>
      <w:r w:rsidRPr="00C47BF8">
        <w:rPr>
          <w:rStyle w:val="FootnoteReference"/>
          <w:lang w:val="lv-LV"/>
        </w:rPr>
        <w:footnoteRef/>
      </w:r>
      <w:r w:rsidRPr="00C47BF8">
        <w:rPr>
          <w:lang w:val="lv-LV"/>
        </w:rPr>
        <w:t xml:space="preserve"> Sk. Satversmes tiesas 2010.gada 6.decembra sprieduma lietā Nr.2010-25-01 4.punktu.</w:t>
      </w:r>
    </w:p>
  </w:footnote>
  <w:footnote w:id="2">
    <w:p w14:paraId="15ACE360" w14:textId="77777777" w:rsidR="00CC6BBC" w:rsidRPr="00C47BF8" w:rsidRDefault="00CC6BBC" w:rsidP="00814DBD">
      <w:pPr>
        <w:pStyle w:val="NormalWeb"/>
        <w:spacing w:before="0" w:beforeAutospacing="0" w:after="0" w:afterAutospacing="0"/>
        <w:contextualSpacing/>
        <w:jc w:val="both"/>
        <w:rPr>
          <w:sz w:val="20"/>
          <w:szCs w:val="20"/>
        </w:rPr>
      </w:pPr>
      <w:r w:rsidRPr="00C47BF8">
        <w:rPr>
          <w:rStyle w:val="FootnoteReference"/>
          <w:sz w:val="20"/>
          <w:szCs w:val="20"/>
        </w:rPr>
        <w:footnoteRef/>
      </w:r>
      <w:r w:rsidRPr="00C47BF8">
        <w:rPr>
          <w:sz w:val="20"/>
          <w:szCs w:val="20"/>
        </w:rPr>
        <w:t xml:space="preserve"> Tikai atsevišķos gadījumos, samērojot tiesiskās paļāvības ierobežojuma apmēru un tiesiskā regulējuma maiņas nepieciešamību un steidzamību, atkāpšanās no personai garantētajām tiesībām </w:t>
      </w:r>
      <w:r>
        <w:rPr>
          <w:sz w:val="20"/>
          <w:szCs w:val="20"/>
        </w:rPr>
        <w:t>pieļaujama bez pārejas perioda.</w:t>
      </w:r>
    </w:p>
  </w:footnote>
  <w:footnote w:id="3">
    <w:p w14:paraId="249B936C" w14:textId="77777777" w:rsidR="00CC6BBC" w:rsidRPr="00C47BF8" w:rsidRDefault="00CC6BBC" w:rsidP="00814DBD">
      <w:pPr>
        <w:pStyle w:val="FootnoteText"/>
        <w:ind w:left="0" w:firstLine="0"/>
        <w:contextualSpacing/>
        <w:jc w:val="both"/>
        <w:rPr>
          <w:lang w:val="lv-LV"/>
        </w:rPr>
      </w:pPr>
      <w:r w:rsidRPr="00C47BF8">
        <w:rPr>
          <w:rStyle w:val="FootnoteReference"/>
          <w:lang w:val="lv-LV"/>
        </w:rPr>
        <w:footnoteRef/>
      </w:r>
      <w:r>
        <w:rPr>
          <w:lang w:val="lv-LV"/>
        </w:rPr>
        <w:t xml:space="preserve"> Sk. Satversmes tiesas 2003.gada 25.</w:t>
      </w:r>
      <w:r w:rsidRPr="00C47BF8">
        <w:rPr>
          <w:lang w:val="lv-LV"/>
        </w:rPr>
        <w:t>marta sprieduma lietā Nr.</w:t>
      </w:r>
      <w:r>
        <w:rPr>
          <w:lang w:val="lv-LV"/>
        </w:rPr>
        <w:t>2002-12-01 secinājumu daļas 2.</w:t>
      </w:r>
      <w:r w:rsidRPr="00C47BF8">
        <w:rPr>
          <w:lang w:val="lv-LV"/>
        </w:rPr>
        <w:t>punktu.</w:t>
      </w:r>
    </w:p>
  </w:footnote>
  <w:footnote w:id="4">
    <w:p w14:paraId="7F735CE3" w14:textId="77777777" w:rsidR="00CC6BBC" w:rsidRPr="00C47BF8" w:rsidRDefault="00CC6BBC" w:rsidP="00814DBD">
      <w:pPr>
        <w:pStyle w:val="FootnoteText"/>
        <w:ind w:left="0" w:firstLine="0"/>
        <w:contextualSpacing/>
        <w:jc w:val="both"/>
        <w:rPr>
          <w:lang w:val="lv-LV"/>
        </w:rPr>
      </w:pPr>
      <w:r w:rsidRPr="00C47BF8">
        <w:rPr>
          <w:rStyle w:val="FootnoteReference"/>
          <w:lang w:val="lv-LV"/>
        </w:rPr>
        <w:footnoteRef/>
      </w:r>
      <w:r w:rsidRPr="00C47BF8">
        <w:rPr>
          <w:lang w:val="lv-LV"/>
        </w:rPr>
        <w:t xml:space="preserve"> Sk., pi</w:t>
      </w:r>
      <w:r>
        <w:rPr>
          <w:lang w:val="lv-LV"/>
        </w:rPr>
        <w:t>emēram, Satversmes tiesas 2009.gada 26.novembra sprieduma lietā Nr.</w:t>
      </w:r>
      <w:r w:rsidRPr="00C47BF8">
        <w:rPr>
          <w:lang w:val="lv-LV"/>
        </w:rPr>
        <w:t>2009-08-01 25.punktu.</w:t>
      </w:r>
    </w:p>
  </w:footnote>
  <w:footnote w:id="5">
    <w:p w14:paraId="07BF7BAF" w14:textId="77777777" w:rsidR="00CC6BBC" w:rsidRPr="00C47BF8" w:rsidRDefault="00CC6BBC" w:rsidP="00814DBD">
      <w:pPr>
        <w:pStyle w:val="FootnoteText"/>
        <w:ind w:left="0" w:firstLine="0"/>
        <w:contextualSpacing/>
        <w:jc w:val="both"/>
        <w:rPr>
          <w:lang w:val="lv-LV"/>
        </w:rPr>
      </w:pPr>
      <w:r w:rsidRPr="00C47BF8">
        <w:rPr>
          <w:rStyle w:val="FootnoteReference"/>
          <w:lang w:val="lv-LV"/>
        </w:rPr>
        <w:footnoteRef/>
      </w:r>
      <w:r w:rsidRPr="00C47BF8">
        <w:rPr>
          <w:lang w:val="lv-LV"/>
        </w:rPr>
        <w:t xml:space="preserve"> Kalniņš E. Tiesību normas spēkā esamība un intertemporālā piemērojamība. Likums un Tiesības, jūlijs, 2000.</w:t>
      </w:r>
    </w:p>
  </w:footnote>
  <w:footnote w:id="6">
    <w:p w14:paraId="57F8AEEE" w14:textId="77777777" w:rsidR="00CC6BBC" w:rsidRPr="00C47BF8" w:rsidRDefault="00CC6BBC" w:rsidP="00814DBD">
      <w:pPr>
        <w:pStyle w:val="NoSpacing"/>
        <w:jc w:val="both"/>
        <w:rPr>
          <w:lang w:val="lv-LV" w:eastAsia="en-US"/>
        </w:rPr>
      </w:pPr>
      <w:r w:rsidRPr="00C47BF8">
        <w:rPr>
          <w:rStyle w:val="FootnoteReference"/>
          <w:lang w:val="lv-LV"/>
        </w:rPr>
        <w:footnoteRef/>
      </w:r>
      <w:r w:rsidRPr="00C47BF8">
        <w:rPr>
          <w:lang w:val="lv-LV"/>
        </w:rPr>
        <w:t xml:space="preserve"> Sīkāk sk</w:t>
      </w:r>
      <w:r>
        <w:rPr>
          <w:lang w:val="lv-LV"/>
        </w:rPr>
        <w:t>.</w:t>
      </w:r>
      <w:r w:rsidRPr="00C47BF8">
        <w:rPr>
          <w:lang w:val="lv-LV"/>
        </w:rPr>
        <w:t xml:space="preserve"> Kusiņš G. Normatīvo aktu jaunrade. Grām.: Mūsdienu tiesību teorijas atziņas: </w:t>
      </w:r>
      <w:r>
        <w:rPr>
          <w:lang w:val="lv-LV"/>
        </w:rPr>
        <w:t>rakstu krājums. E.Meļķiša red. [aut. kol.: E.Levits, E.Meļķisis, J.Briede u.c.], Rīga,</w:t>
      </w:r>
      <w:r w:rsidRPr="00C47BF8">
        <w:rPr>
          <w:lang w:val="lv-LV"/>
        </w:rPr>
        <w:t xml:space="preserve"> Tiesu namu aģentūra, 1999.</w:t>
      </w:r>
    </w:p>
  </w:footnote>
  <w:footnote w:id="7">
    <w:p w14:paraId="7A5BCFCD" w14:textId="77777777" w:rsidR="00CC6BBC" w:rsidRPr="00C47BF8" w:rsidRDefault="00CC6BBC" w:rsidP="00422D10">
      <w:pPr>
        <w:rPr>
          <w:lang w:val="lv-LV"/>
        </w:rPr>
      </w:pPr>
      <w:r w:rsidRPr="00C47BF8">
        <w:rPr>
          <w:rStyle w:val="FootnoteReference"/>
          <w:lang w:val="lv-LV"/>
        </w:rPr>
        <w:footnoteRef/>
      </w:r>
      <w:r w:rsidRPr="00C47BF8">
        <w:rPr>
          <w:lang w:val="lv-LV"/>
        </w:rPr>
        <w:t xml:space="preserve"> Dalībnieku un akcionāru reģistra vešana: problēmas un risinājumi. Jurista Vārds</w:t>
      </w:r>
      <w:r>
        <w:rPr>
          <w:lang w:val="lv-LV"/>
        </w:rPr>
        <w:t>,</w:t>
      </w:r>
      <w:r w:rsidRPr="00C47BF8">
        <w:rPr>
          <w:lang w:val="lv-LV"/>
        </w:rPr>
        <w:t xml:space="preserve"> 22.</w:t>
      </w:r>
      <w:r>
        <w:rPr>
          <w:lang w:val="lv-LV"/>
        </w:rPr>
        <w:t>novembris,</w:t>
      </w:r>
      <w:r w:rsidRPr="00C47BF8">
        <w:rPr>
          <w:lang w:val="lv-LV"/>
        </w:rPr>
        <w:t xml:space="preserve"> 2011</w:t>
      </w:r>
      <w:r>
        <w:rPr>
          <w:lang w:val="lv-LV"/>
        </w:rPr>
        <w:t>,</w:t>
      </w:r>
      <w:r w:rsidRPr="00C47BF8">
        <w:rPr>
          <w:lang w:val="lv-LV"/>
        </w:rPr>
        <w:t xml:space="preserve"> Nr.47 (694)</w:t>
      </w:r>
      <w:r>
        <w:rPr>
          <w:lang w:val="lv-LV"/>
        </w:rPr>
        <w:t>.</w:t>
      </w:r>
    </w:p>
  </w:footnote>
  <w:footnote w:id="8">
    <w:p w14:paraId="2F3FE888" w14:textId="77777777" w:rsidR="00CC6BBC" w:rsidRPr="00C47BF8" w:rsidRDefault="00CC6BBC" w:rsidP="002A12FC">
      <w:pPr>
        <w:pStyle w:val="FootnoteText"/>
        <w:ind w:left="0" w:firstLine="0"/>
        <w:jc w:val="both"/>
        <w:rPr>
          <w:lang w:val="lv-LV"/>
        </w:rPr>
      </w:pPr>
      <w:r w:rsidRPr="00C47BF8">
        <w:rPr>
          <w:rStyle w:val="FootnoteReference"/>
          <w:lang w:val="lv-LV"/>
        </w:rPr>
        <w:footnoteRef/>
      </w:r>
      <w:r>
        <w:rPr>
          <w:lang w:val="lv-LV"/>
        </w:rPr>
        <w:t xml:space="preserve"> Anotācija pieejama: </w:t>
      </w:r>
      <w:hyperlink r:id="rId1" w:history="1">
        <w:r w:rsidRPr="002A12FC">
          <w:rPr>
            <w:rStyle w:val="Hyperlink"/>
            <w:i/>
            <w:color w:val="auto"/>
            <w:u w:val="none"/>
            <w:lang w:val="lv-LV"/>
          </w:rPr>
          <w:t>http://titania.saeima.lv/LIVS/SaeimaLIVS.nsf/0/614B6229E4CC5107C225767F00364BDE?Open‌Document</w:t>
        </w:r>
      </w:hyperlink>
      <w:r>
        <w:rPr>
          <w:lang w:val="lv-LV"/>
        </w:rPr>
        <w:t>.</w:t>
      </w:r>
    </w:p>
  </w:footnote>
  <w:footnote w:id="9">
    <w:p w14:paraId="41C86307" w14:textId="77777777" w:rsidR="00CC6BBC" w:rsidRPr="003C13EC" w:rsidRDefault="00CC6BBC" w:rsidP="00814DBD">
      <w:pPr>
        <w:pStyle w:val="FootnoteText"/>
        <w:ind w:left="0" w:firstLine="0"/>
        <w:jc w:val="both"/>
        <w:rPr>
          <w:lang w:val="lv-LV"/>
        </w:rPr>
      </w:pPr>
      <w:r w:rsidRPr="00C47BF8">
        <w:rPr>
          <w:rStyle w:val="FootnoteReference"/>
          <w:lang w:val="lv-LV"/>
        </w:rPr>
        <w:footnoteRef/>
      </w:r>
      <w:r w:rsidRPr="00C47BF8">
        <w:rPr>
          <w:lang w:val="lv-LV"/>
        </w:rPr>
        <w:t xml:space="preserve"> Informatīvais ziņojums „</w:t>
      </w:r>
      <w:r w:rsidRPr="00C47BF8">
        <w:rPr>
          <w:bCs/>
          <w:lang w:val="lv-LV"/>
        </w:rPr>
        <w:t>Par nekustamā īpašuma atsavināšanu valsts vai sabiedriskajām vajadzībām procesa efektivizēšanu”, p</w:t>
      </w:r>
      <w:r w:rsidRPr="00C47BF8">
        <w:rPr>
          <w:lang w:val="lv-LV"/>
        </w:rPr>
        <w:t xml:space="preserve">ieejams: </w:t>
      </w:r>
      <w:r w:rsidRPr="00C47BF8">
        <w:rPr>
          <w:rStyle w:val="HTMLCite"/>
          <w:lang w:val="lv-LV"/>
        </w:rPr>
        <w:t>polsis.mk.gov.lv/LoadAtt/file65124.doc</w:t>
      </w:r>
      <w:r>
        <w:rPr>
          <w:rStyle w:val="HTMLCite"/>
          <w:i w:val="0"/>
          <w:lang w:val="lv-LV"/>
        </w:rPr>
        <w:t>.</w:t>
      </w:r>
    </w:p>
  </w:footnote>
  <w:footnote w:id="10">
    <w:p w14:paraId="3F8BD12B" w14:textId="77777777" w:rsidR="00CC6BBC" w:rsidRPr="00C47BF8" w:rsidRDefault="00CC6BBC" w:rsidP="002A12FC">
      <w:pPr>
        <w:pStyle w:val="FootnoteText"/>
        <w:ind w:left="0" w:firstLine="0"/>
        <w:jc w:val="both"/>
        <w:rPr>
          <w:b/>
          <w:lang w:val="lv-LV"/>
        </w:rPr>
      </w:pPr>
      <w:r w:rsidRPr="00C47BF8">
        <w:rPr>
          <w:rStyle w:val="FootnoteReference"/>
          <w:lang w:val="lv-LV"/>
        </w:rPr>
        <w:footnoteRef/>
      </w:r>
      <w:r w:rsidRPr="00C47BF8">
        <w:rPr>
          <w:lang w:val="lv-LV"/>
        </w:rPr>
        <w:t xml:space="preserve"> Pieejams: </w:t>
      </w:r>
      <w:hyperlink r:id="rId2" w:history="1">
        <w:r w:rsidRPr="002A12FC">
          <w:rPr>
            <w:rStyle w:val="Hyperlink"/>
            <w:i/>
            <w:color w:val="auto"/>
            <w:u w:val="none"/>
            <w:lang w:val="lv-LV"/>
          </w:rPr>
          <w:t>http://titania.saeima.lv/LIVS11/SaeimaLIVS11.nsf/0/F0C0D56A647CD32CC2257BF700487F6F?OpenDoc‌ument</w:t>
        </w:r>
      </w:hyperlink>
      <w:r>
        <w:rPr>
          <w:lang w:val="lv-LV"/>
        </w:rPr>
        <w:t>.</w:t>
      </w:r>
    </w:p>
  </w:footnote>
  <w:footnote w:id="11">
    <w:p w14:paraId="71E43F5A" w14:textId="77777777" w:rsidR="00CC6BBC" w:rsidRPr="003C13EC" w:rsidRDefault="00CC6BBC" w:rsidP="00814DBD">
      <w:pPr>
        <w:pStyle w:val="FootnoteText"/>
        <w:jc w:val="both"/>
        <w:rPr>
          <w:lang w:val="lv-LV"/>
        </w:rPr>
      </w:pPr>
      <w:r w:rsidRPr="00C47BF8">
        <w:rPr>
          <w:rStyle w:val="FootnoteReference"/>
          <w:lang w:val="lv-LV"/>
        </w:rPr>
        <w:footnoteRef/>
      </w:r>
      <w:r w:rsidRPr="00C47BF8">
        <w:rPr>
          <w:lang w:val="lv-LV"/>
        </w:rPr>
        <w:t xml:space="preserve"> </w:t>
      </w:r>
      <w:hyperlink r:id="rId3" w:history="1">
        <w:r w:rsidRPr="00817827">
          <w:rPr>
            <w:rStyle w:val="Hyperlink"/>
            <w:color w:val="auto"/>
            <w:u w:val="none"/>
            <w:lang w:val="lv-LV"/>
          </w:rPr>
          <w:t>Eiropas Parlamenta un Padomes 13.12.1999 Direktīva 1999/93/EK par Kopienas elektronisko parakstu sistēmu</w:t>
        </w:r>
      </w:hyperlink>
      <w:r w:rsidRPr="003C13EC">
        <w:rPr>
          <w:rStyle w:val="Hyperlink"/>
          <w:color w:val="auto"/>
          <w:u w:val="none"/>
          <w:lang w:val="lv-LV"/>
        </w:rPr>
        <w:t>.</w:t>
      </w:r>
    </w:p>
  </w:footnote>
  <w:footnote w:id="12">
    <w:p w14:paraId="5C5F4CA4" w14:textId="77777777" w:rsidR="00CC6BBC" w:rsidRPr="00C47BF8" w:rsidRDefault="00CC6BBC" w:rsidP="00814DBD">
      <w:pPr>
        <w:pStyle w:val="FootnoteText"/>
        <w:jc w:val="both"/>
        <w:rPr>
          <w:lang w:val="lv-LV"/>
        </w:rPr>
      </w:pPr>
      <w:r w:rsidRPr="00C47BF8">
        <w:rPr>
          <w:rStyle w:val="FootnoteReference"/>
          <w:lang w:val="lv-LV"/>
        </w:rPr>
        <w:footnoteRef/>
      </w:r>
      <w:r w:rsidRPr="00C47BF8">
        <w:rPr>
          <w:lang w:val="lv-LV"/>
        </w:rPr>
        <w:t xml:space="preserve"> </w:t>
      </w:r>
      <w:hyperlink r:id="rId4" w:history="1">
        <w:r w:rsidRPr="00817827">
          <w:rPr>
            <w:rStyle w:val="Hyperlink"/>
            <w:color w:val="auto"/>
            <w:u w:val="none"/>
            <w:lang w:val="lv-LV"/>
          </w:rPr>
          <w:t>Eiropas Parlamenta un Padomes 13.12.1999 Direktīva 1999/93/EK par Kopienas elektronisko parakstu sistēmu</w:t>
        </w:r>
      </w:hyperlink>
      <w:r>
        <w:rPr>
          <w:lang w:val="lv-LV"/>
        </w:rPr>
        <w:t>,</w:t>
      </w:r>
      <w:r w:rsidRPr="00C47BF8">
        <w:rPr>
          <w:lang w:val="lv-LV"/>
        </w:rPr>
        <w:t xml:space="preserve"> 4.pants</w:t>
      </w:r>
    </w:p>
  </w:footnote>
  <w:footnote w:id="13">
    <w:p w14:paraId="4F0C0D9D" w14:textId="77777777" w:rsidR="00CC6BBC" w:rsidRPr="00C47BF8" w:rsidRDefault="00CC6BBC" w:rsidP="00814DBD">
      <w:pPr>
        <w:pStyle w:val="FootnoteText"/>
        <w:jc w:val="both"/>
        <w:rPr>
          <w:lang w:val="lv-LV"/>
        </w:rPr>
      </w:pPr>
      <w:r w:rsidRPr="00C47BF8">
        <w:rPr>
          <w:rStyle w:val="FootnoteReference"/>
          <w:lang w:val="lv-LV"/>
        </w:rPr>
        <w:footnoteRef/>
      </w:r>
      <w:r w:rsidRPr="00C47BF8">
        <w:rPr>
          <w:lang w:val="lv-LV"/>
        </w:rPr>
        <w:t xml:space="preserve"> Pieejams: </w:t>
      </w:r>
      <w:hyperlink r:id="rId5" w:history="1">
        <w:r w:rsidRPr="00817827">
          <w:rPr>
            <w:rStyle w:val="Hyperlink"/>
            <w:i/>
            <w:color w:val="auto"/>
            <w:u w:val="none"/>
            <w:lang w:val="lv-LV"/>
          </w:rPr>
          <w:t>http://mk.gov.lv/doc/2005/VARAMZINO_240913.2977.DOCX</w:t>
        </w:r>
      </w:hyperlink>
      <w:r>
        <w:rPr>
          <w:lang w:val="lv-LV"/>
        </w:rPr>
        <w:t>.</w:t>
      </w:r>
    </w:p>
  </w:footnote>
  <w:footnote w:id="14">
    <w:p w14:paraId="1C73184E" w14:textId="77777777" w:rsidR="00CC6BBC" w:rsidRPr="003F5D85" w:rsidRDefault="00CC6BBC">
      <w:pPr>
        <w:pStyle w:val="FootnoteText"/>
        <w:rPr>
          <w:lang w:val="lv-LV"/>
        </w:rPr>
      </w:pPr>
      <w:r w:rsidRPr="003F5D85">
        <w:rPr>
          <w:rStyle w:val="FootnoteReference"/>
          <w:lang w:val="lv-LV"/>
        </w:rPr>
        <w:footnoteRef/>
      </w:r>
      <w:r w:rsidRPr="003F5D85">
        <w:rPr>
          <w:lang w:val="lv-LV"/>
        </w:rPr>
        <w:t xml:space="preserve"> Iniciatīvas </w:t>
      </w:r>
      <w:r>
        <w:rPr>
          <w:lang w:val="lv-LV"/>
        </w:rPr>
        <w:fldChar w:fldCharType="begin"/>
      </w:r>
      <w:r>
        <w:rPr>
          <w:lang w:val="lv-LV"/>
        </w:rPr>
        <w:instrText xml:space="preserve"> REF _Ref387305738 \r \h </w:instrText>
      </w:r>
      <w:r>
        <w:rPr>
          <w:lang w:val="lv-LV"/>
        </w:rPr>
      </w:r>
      <w:r>
        <w:rPr>
          <w:lang w:val="lv-LV"/>
        </w:rPr>
        <w:fldChar w:fldCharType="separate"/>
      </w:r>
      <w:r w:rsidR="003222AC">
        <w:rPr>
          <w:lang w:val="lv-LV"/>
        </w:rPr>
        <w:t>3.1.6.1</w:t>
      </w:r>
      <w:r>
        <w:rPr>
          <w:lang w:val="lv-LV"/>
        </w:rPr>
        <w:fldChar w:fldCharType="end"/>
      </w:r>
      <w:r w:rsidRPr="003F5D85">
        <w:rPr>
          <w:lang w:val="lv-LV"/>
        </w:rPr>
        <w:t>.-</w:t>
      </w:r>
      <w:r>
        <w:rPr>
          <w:lang w:val="lv-LV"/>
        </w:rPr>
        <w:fldChar w:fldCharType="begin"/>
      </w:r>
      <w:r>
        <w:rPr>
          <w:lang w:val="lv-LV"/>
        </w:rPr>
        <w:instrText xml:space="preserve"> REF _Ref387305747 \r \h </w:instrText>
      </w:r>
      <w:r>
        <w:rPr>
          <w:lang w:val="lv-LV"/>
        </w:rPr>
      </w:r>
      <w:r>
        <w:rPr>
          <w:lang w:val="lv-LV"/>
        </w:rPr>
        <w:fldChar w:fldCharType="separate"/>
      </w:r>
      <w:r w:rsidR="003222AC">
        <w:rPr>
          <w:lang w:val="lv-LV"/>
        </w:rPr>
        <w:t>3.1.6.3</w:t>
      </w:r>
      <w:r>
        <w:rPr>
          <w:lang w:val="lv-LV"/>
        </w:rPr>
        <w:fldChar w:fldCharType="end"/>
      </w:r>
      <w:r w:rsidRPr="003F5D85">
        <w:rPr>
          <w:lang w:val="lv-LV"/>
        </w:rPr>
        <w:t>. sagatavotas ar Latvijas tiesību institūta atbalstu.</w:t>
      </w:r>
    </w:p>
  </w:footnote>
  <w:footnote w:id="15">
    <w:p w14:paraId="06781AC4" w14:textId="77777777" w:rsidR="00CC6BBC" w:rsidRPr="00C47BF8" w:rsidRDefault="00CC6BBC" w:rsidP="00814DBD">
      <w:pPr>
        <w:ind w:right="6"/>
        <w:jc w:val="both"/>
        <w:rPr>
          <w:color w:val="000000"/>
          <w:lang w:val="lv-LV"/>
        </w:rPr>
      </w:pPr>
      <w:r w:rsidRPr="00C47BF8">
        <w:rPr>
          <w:rStyle w:val="FootnoteReference"/>
          <w:bCs/>
          <w:color w:val="000000"/>
          <w:lang w:val="lv-LV"/>
        </w:rPr>
        <w:footnoteRef/>
      </w:r>
      <w:r w:rsidRPr="004F4AD8">
        <w:rPr>
          <w:bCs/>
          <w:color w:val="000000"/>
          <w:lang w:val="lv-LV"/>
        </w:rPr>
        <w:t xml:space="preserve"> </w:t>
      </w:r>
      <w:r w:rsidRPr="00C47BF8">
        <w:rPr>
          <w:color w:val="000000"/>
          <w:lang w:val="lv-LV"/>
        </w:rPr>
        <w:t>Analogs mūsdienu sabiedrībai ar ierobežotu atbildību</w:t>
      </w:r>
      <w:r>
        <w:rPr>
          <w:color w:val="000000"/>
          <w:lang w:val="lv-LV"/>
        </w:rPr>
        <w:t>.</w:t>
      </w:r>
    </w:p>
  </w:footnote>
  <w:footnote w:id="16">
    <w:p w14:paraId="48A78E0B" w14:textId="77777777" w:rsidR="00CC6BBC" w:rsidRPr="00C47BF8" w:rsidRDefault="00CC6BBC" w:rsidP="00814DBD">
      <w:pPr>
        <w:jc w:val="both"/>
        <w:rPr>
          <w:color w:val="000000"/>
          <w:lang w:val="lv-LV"/>
        </w:rPr>
      </w:pPr>
      <w:r w:rsidRPr="00C47BF8">
        <w:rPr>
          <w:rStyle w:val="FootnoteReference"/>
          <w:bCs/>
          <w:color w:val="000000"/>
          <w:lang w:val="lv-LV"/>
        </w:rPr>
        <w:footnoteRef/>
      </w:r>
      <w:r w:rsidRPr="00C47BF8">
        <w:rPr>
          <w:b/>
          <w:bCs/>
          <w:color w:val="000000"/>
          <w:lang w:val="lv-LV"/>
        </w:rPr>
        <w:t xml:space="preserve"> </w:t>
      </w:r>
      <w:r w:rsidRPr="00C47BF8">
        <w:rPr>
          <w:color w:val="000000"/>
          <w:lang w:val="lv-LV"/>
        </w:rPr>
        <w:t>Sk., piem., 1925.gada 31.janvāra Latvijas Senāta Civilā kasācijas departamenta spriedumu Eduarda Gašeļa prasības lietā pret „Linu un džutes manufaktūras akciju sabiedrību”, publicēts: Latvijas Senāta spriedumu (1918-1940), 9.sējums – Senāta Civilā kasācijas departamenta spriedumi (1925), kārtējo sēžu spriedumi, Rīga: Latvijas Republikas Augstākā tiesa un Senatora Augusta Lēbera fonds, 1997.g., 3348.-3354.lpp.; 1935.gada 25.janvāra Latvijas Senāta Civilā kasācijas departamenta spriedumu Markeļa Frīdmaņa un Nikolaja Starcena prasības lietā pret A/S „Rīgas konservu fabrika S.K.F.”, publicēts: Latvijas Senāta spriedumu (1918-1940), 13.sējums – Senāta Civilā kasācijas departamenta spriedumi (1934-1936), kārtējo sēžu un kopsēžu spriedumi, Rīga: Latvijas Republikas Augstākā tiesa un Senatora Augusta Lēbera fonds, 1998.g., 5117.lpp.; 1937.gada 27.maija Latvijas Senāta Civilā kasācija</w:t>
      </w:r>
      <w:r>
        <w:rPr>
          <w:color w:val="000000"/>
          <w:lang w:val="lv-LV"/>
        </w:rPr>
        <w:t>s departamenta spriedumu Nr.502</w:t>
      </w:r>
      <w:r w:rsidRPr="00C47BF8">
        <w:rPr>
          <w:color w:val="000000"/>
          <w:lang w:val="lv-LV"/>
        </w:rPr>
        <w:t xml:space="preserve"> P/S „Stodoļskas tūku fabrikas Vasilija Barišņikova dēli” prasības lietā pret „Maskavas Rūpniecības banku, bij. J. W. Junker un Co, Rīgas nodaļu”, publicēts: Latvijas Senāta spriedumu (1918-1940), 14.sējums – Senāta Civilā kasācijas departamenta spriedumi (1937-1940), kārtējo sēžu un kopsēžu spriedumi, Rīga: Latvijas Republikas Augstākā tiesa un Senatora Augusta Lēbera fonds, 1998.g., 5408.-5409.lpp.</w:t>
      </w:r>
    </w:p>
  </w:footnote>
  <w:footnote w:id="17">
    <w:p w14:paraId="5F0128B7" w14:textId="77777777" w:rsidR="00CC6BBC" w:rsidRPr="00C47BF8" w:rsidRDefault="00CC6BBC" w:rsidP="003C13EC">
      <w:pPr>
        <w:jc w:val="both"/>
        <w:rPr>
          <w:color w:val="000000"/>
          <w:lang w:val="lv-LV"/>
        </w:rPr>
      </w:pPr>
      <w:r w:rsidRPr="00C47BF8">
        <w:rPr>
          <w:rStyle w:val="FootnoteReference"/>
          <w:bCs/>
          <w:color w:val="000000"/>
          <w:lang w:val="lv-LV"/>
        </w:rPr>
        <w:footnoteRef/>
      </w:r>
      <w:r w:rsidRPr="00C47BF8">
        <w:rPr>
          <w:b/>
          <w:bCs/>
          <w:color w:val="000000"/>
          <w:lang w:val="lv-LV"/>
        </w:rPr>
        <w:t xml:space="preserve"> </w:t>
      </w:r>
      <w:r>
        <w:rPr>
          <w:color w:val="000000"/>
          <w:lang w:val="lv-LV"/>
        </w:rPr>
        <w:t>Sk</w:t>
      </w:r>
      <w:r w:rsidRPr="00C47BF8">
        <w:rPr>
          <w:color w:val="000000"/>
          <w:lang w:val="lv-LV"/>
        </w:rPr>
        <w:t xml:space="preserve">. 2010.gada 10.februāra Latvijas Republikas Augstākās tiesas Senāta Civillietu departamenta spriedumu Lietā </w:t>
      </w:r>
      <w:r w:rsidRPr="00C47BF8">
        <w:rPr>
          <w:lang w:val="lv-LV"/>
        </w:rPr>
        <w:t xml:space="preserve">Nr.SKC-37/2010, pieejams: </w:t>
      </w:r>
      <w:hyperlink r:id="rId6" w:history="1">
        <w:r w:rsidRPr="004071CF">
          <w:rPr>
            <w:rStyle w:val="Hyperlink"/>
            <w:i/>
            <w:color w:val="auto"/>
            <w:u w:val="none"/>
            <w:lang w:val="lv-LV"/>
          </w:rPr>
          <w:t>http://at.gov.lv/files/uploads/files/archive/department1/2010/37-vi.doc</w:t>
        </w:r>
      </w:hyperlink>
      <w:r>
        <w:rPr>
          <w:lang w:val="lv-LV"/>
        </w:rPr>
        <w:t>.</w:t>
      </w:r>
    </w:p>
  </w:footnote>
  <w:footnote w:id="18">
    <w:p w14:paraId="4A83E3D3" w14:textId="77777777" w:rsidR="00CC6BBC" w:rsidRPr="00C47BF8" w:rsidRDefault="00CC6BBC" w:rsidP="00814DBD">
      <w:pPr>
        <w:ind w:right="6"/>
        <w:jc w:val="both"/>
        <w:rPr>
          <w:color w:val="000000"/>
          <w:lang w:val="lv-LV"/>
        </w:rPr>
      </w:pPr>
      <w:r w:rsidRPr="00C47BF8">
        <w:rPr>
          <w:rStyle w:val="FootnoteReference"/>
          <w:bCs/>
          <w:color w:val="000000"/>
          <w:lang w:val="lv-LV"/>
        </w:rPr>
        <w:footnoteRef/>
      </w:r>
      <w:r w:rsidRPr="00C47BF8">
        <w:rPr>
          <w:b/>
          <w:bCs/>
          <w:color w:val="000000"/>
          <w:lang w:val="lv-LV"/>
        </w:rPr>
        <w:t xml:space="preserve"> </w:t>
      </w:r>
      <w:r w:rsidRPr="00C47BF8">
        <w:rPr>
          <w:color w:val="000000"/>
          <w:lang w:val="lv-LV"/>
        </w:rPr>
        <w:t xml:space="preserve">Sk. Juris Grinbergs, „Jaunie Latvijas tirdzniecības likumi”, publicēts: „Jurists”, Nr.6., </w:t>
      </w:r>
      <w:r w:rsidRPr="00C47BF8">
        <w:rPr>
          <w:rStyle w:val="searchresultstext"/>
          <w:bCs/>
          <w:color w:val="000000"/>
          <w:lang w:val="lv-LV"/>
        </w:rPr>
        <w:t>1935.01.01</w:t>
      </w:r>
      <w:r w:rsidRPr="00C47BF8">
        <w:rPr>
          <w:color w:val="000000"/>
          <w:lang w:val="lv-LV"/>
        </w:rPr>
        <w:t>.</w:t>
      </w:r>
      <w:r>
        <w:rPr>
          <w:color w:val="000000"/>
          <w:lang w:val="lv-LV"/>
        </w:rPr>
        <w:t>,</w:t>
      </w:r>
      <w:r w:rsidRPr="00C47BF8">
        <w:rPr>
          <w:color w:val="000000"/>
          <w:lang w:val="lv-LV"/>
        </w:rPr>
        <w:t xml:space="preserve"> 13.sleja.</w:t>
      </w:r>
    </w:p>
  </w:footnote>
  <w:footnote w:id="19">
    <w:p w14:paraId="40C7EC58" w14:textId="77777777" w:rsidR="00CC6BBC" w:rsidRPr="00E77CDB" w:rsidRDefault="00CC6BBC">
      <w:pPr>
        <w:pStyle w:val="FootnoteText"/>
        <w:rPr>
          <w:lang w:val="lv-LV"/>
        </w:rPr>
      </w:pPr>
      <w:r w:rsidRPr="00E77CDB">
        <w:rPr>
          <w:rStyle w:val="FootnoteReference"/>
          <w:lang w:val="lv-LV"/>
        </w:rPr>
        <w:footnoteRef/>
      </w:r>
      <w:r w:rsidRPr="00E77CDB">
        <w:rPr>
          <w:lang w:val="lv-LV"/>
        </w:rPr>
        <w:t xml:space="preserve"> Iniciatīvas </w:t>
      </w:r>
      <w:r>
        <w:rPr>
          <w:lang w:val="lv-LV"/>
        </w:rPr>
        <w:fldChar w:fldCharType="begin"/>
      </w:r>
      <w:r>
        <w:rPr>
          <w:lang w:val="lv-LV"/>
        </w:rPr>
        <w:instrText xml:space="preserve"> REF _Ref387305844 \r \h </w:instrText>
      </w:r>
      <w:r>
        <w:rPr>
          <w:lang w:val="lv-LV"/>
        </w:rPr>
      </w:r>
      <w:r>
        <w:rPr>
          <w:lang w:val="lv-LV"/>
        </w:rPr>
        <w:fldChar w:fldCharType="separate"/>
      </w:r>
      <w:r w:rsidR="003222AC">
        <w:rPr>
          <w:lang w:val="lv-LV"/>
        </w:rPr>
        <w:t>3.2.1</w:t>
      </w:r>
      <w:r>
        <w:rPr>
          <w:lang w:val="lv-LV"/>
        </w:rPr>
        <w:fldChar w:fldCharType="end"/>
      </w:r>
      <w:r w:rsidRPr="00E77CDB">
        <w:rPr>
          <w:lang w:val="lv-LV"/>
        </w:rPr>
        <w:t>.-</w:t>
      </w:r>
      <w:r>
        <w:rPr>
          <w:lang w:val="lv-LV"/>
        </w:rPr>
        <w:fldChar w:fldCharType="begin"/>
      </w:r>
      <w:r>
        <w:rPr>
          <w:lang w:val="lv-LV"/>
        </w:rPr>
        <w:instrText xml:space="preserve"> REF _Ref387305855 \r \h </w:instrText>
      </w:r>
      <w:r>
        <w:rPr>
          <w:lang w:val="lv-LV"/>
        </w:rPr>
      </w:r>
      <w:r>
        <w:rPr>
          <w:lang w:val="lv-LV"/>
        </w:rPr>
        <w:fldChar w:fldCharType="separate"/>
      </w:r>
      <w:r w:rsidR="003222AC">
        <w:rPr>
          <w:lang w:val="lv-LV"/>
        </w:rPr>
        <w:t>3.2.2</w:t>
      </w:r>
      <w:r>
        <w:rPr>
          <w:lang w:val="lv-LV"/>
        </w:rPr>
        <w:fldChar w:fldCharType="end"/>
      </w:r>
      <w:r w:rsidRPr="00E77CDB">
        <w:rPr>
          <w:lang w:val="lv-LV"/>
        </w:rPr>
        <w:t>. sagatavotas ar Latvijas tiesību institūta atbalstu.</w:t>
      </w:r>
    </w:p>
  </w:footnote>
  <w:footnote w:id="20">
    <w:p w14:paraId="50C2CBE0" w14:textId="77777777" w:rsidR="00CC6BBC" w:rsidRPr="00C47BF8" w:rsidRDefault="00CC6BBC" w:rsidP="00F66099">
      <w:pPr>
        <w:pStyle w:val="FootnoteText"/>
        <w:ind w:left="0" w:firstLine="0"/>
        <w:contextualSpacing/>
        <w:jc w:val="both"/>
        <w:rPr>
          <w:lang w:val="lv-LV"/>
        </w:rPr>
      </w:pPr>
      <w:r w:rsidRPr="00C47BF8">
        <w:rPr>
          <w:rStyle w:val="FootnoteReference"/>
          <w:lang w:val="lv-LV"/>
        </w:rPr>
        <w:footnoteRef/>
      </w:r>
      <w:r w:rsidRPr="00C47BF8">
        <w:rPr>
          <w:lang w:val="lv-LV"/>
        </w:rPr>
        <w:t xml:space="preserve"> Savulaik pamata redakcijā likuma „Par tiesu varu” 42., </w:t>
      </w:r>
      <w:r>
        <w:rPr>
          <w:lang w:val="lv-LV"/>
        </w:rPr>
        <w:t>43. un 47.pants</w:t>
      </w:r>
      <w:r w:rsidRPr="00C47BF8">
        <w:rPr>
          <w:lang w:val="lv-LV"/>
        </w:rPr>
        <w:t xml:space="preserve"> noteica, ka Augstākās tiesas Senāta sastāvā ir arī Saimniecisko lietu departaments, Augstākās tiesas Tiesu palātas sastāvā ir Saimniecisko lietu tiesu palāta, bet </w:t>
      </w:r>
      <w:r>
        <w:rPr>
          <w:lang w:val="lv-LV"/>
        </w:rPr>
        <w:t>a</w:t>
      </w:r>
      <w:r w:rsidRPr="00C47BF8">
        <w:rPr>
          <w:lang w:val="lv-LV"/>
        </w:rPr>
        <w:t>pgabaltiesā ir arī Saimniecisko lietu tiesas kolēģija. Minētā likuma 8.pants noteica, ka saimnieciskajos strīdos tiesu spriež tiesa, izskatot un izlemjot tiesas sēdēs lietas par strīdiem, kuri rodas, slēdzot, izpildot, grozot vai laužot saimnieciskos līgumus, un lietas par citiem strīdiem starp juridiskajām personām, ja puses šajā strīdā nav griezušas šķīrējtiesā.</w:t>
      </w:r>
    </w:p>
  </w:footnote>
  <w:footnote w:id="21">
    <w:p w14:paraId="5C143D65" w14:textId="77777777" w:rsidR="00CC6BBC" w:rsidRPr="00C47BF8" w:rsidRDefault="00CC6BBC" w:rsidP="00F66099">
      <w:pPr>
        <w:pStyle w:val="FootnoteText"/>
        <w:ind w:left="0" w:firstLine="0"/>
        <w:contextualSpacing/>
        <w:jc w:val="both"/>
        <w:rPr>
          <w:lang w:val="lv-LV"/>
        </w:rPr>
      </w:pPr>
      <w:r w:rsidRPr="00C47BF8">
        <w:rPr>
          <w:rStyle w:val="FootnoteReference"/>
          <w:lang w:val="lv-LV"/>
        </w:rPr>
        <w:footnoteRef/>
      </w:r>
      <w:r w:rsidRPr="00C47BF8">
        <w:rPr>
          <w:lang w:val="lv-LV"/>
        </w:rPr>
        <w:t xml:space="preserve"> Sk., piem., V. Helds, „Komerctiesas agrākā Krievijā”, publicēts: „Ekonomists”, Nr.6., 15.03.1930, 252.lpp. </w:t>
      </w:r>
      <w:r w:rsidRPr="003B7A2B">
        <w:rPr>
          <w:i/>
          <w:lang w:val="lv-LV"/>
        </w:rPr>
        <w:t>et seq</w:t>
      </w:r>
      <w:r w:rsidRPr="00C47BF8">
        <w:rPr>
          <w:lang w:val="lv-LV"/>
        </w:rPr>
        <w:t xml:space="preserve">., </w:t>
      </w:r>
      <w:r w:rsidRPr="00C47BF8">
        <w:rPr>
          <w:color w:val="000000"/>
          <w:lang w:val="lv-LV"/>
        </w:rPr>
        <w:t xml:space="preserve">pieejams Latvijas Nacionālās digitālās bibliotēkas portālā </w:t>
      </w:r>
      <w:r w:rsidRPr="003B7A2B">
        <w:rPr>
          <w:i/>
          <w:color w:val="000000"/>
          <w:lang w:val="lv-LV"/>
        </w:rPr>
        <w:t>www.periodika.lv</w:t>
      </w:r>
      <w:r w:rsidRPr="00C47BF8">
        <w:rPr>
          <w:color w:val="000000"/>
          <w:lang w:val="lv-LV"/>
        </w:rPr>
        <w:t>.</w:t>
      </w:r>
    </w:p>
  </w:footnote>
  <w:footnote w:id="22">
    <w:p w14:paraId="0F84308C" w14:textId="77777777" w:rsidR="00CC6BBC" w:rsidRPr="00C47BF8" w:rsidRDefault="00CC6BBC" w:rsidP="00F66099">
      <w:pPr>
        <w:pStyle w:val="FootnoteText"/>
        <w:ind w:left="0" w:firstLine="0"/>
        <w:contextualSpacing/>
        <w:jc w:val="both"/>
        <w:rPr>
          <w:lang w:val="lv-LV"/>
        </w:rPr>
      </w:pPr>
      <w:r w:rsidRPr="00C47BF8">
        <w:rPr>
          <w:rStyle w:val="FootnoteReference"/>
          <w:lang w:val="lv-LV"/>
        </w:rPr>
        <w:footnoteRef/>
      </w:r>
      <w:r w:rsidRPr="00C47BF8">
        <w:rPr>
          <w:lang w:val="lv-LV"/>
        </w:rPr>
        <w:t xml:space="preserve"> Turpat.</w:t>
      </w:r>
    </w:p>
  </w:footnote>
  <w:footnote w:id="23">
    <w:p w14:paraId="5D473111" w14:textId="77777777" w:rsidR="00CC6BBC" w:rsidRPr="00C47BF8" w:rsidRDefault="00CC6BBC" w:rsidP="00F66099">
      <w:pPr>
        <w:pStyle w:val="FootnoteText"/>
        <w:ind w:left="0" w:firstLine="0"/>
        <w:contextualSpacing/>
        <w:jc w:val="both"/>
        <w:rPr>
          <w:lang w:val="lv-LV"/>
        </w:rPr>
      </w:pPr>
      <w:r w:rsidRPr="00C47BF8">
        <w:rPr>
          <w:rStyle w:val="FootnoteReference"/>
          <w:lang w:val="lv-LV"/>
        </w:rPr>
        <w:footnoteRef/>
      </w:r>
      <w:r>
        <w:rPr>
          <w:lang w:val="lv-LV"/>
        </w:rPr>
        <w:t xml:space="preserve"> Sk</w:t>
      </w:r>
      <w:r w:rsidRPr="00C47BF8">
        <w:rPr>
          <w:lang w:val="lv-LV"/>
        </w:rPr>
        <w:t xml:space="preserve">., piem., „Latvijā rosina izveidot Komerctiesu”, publicēts: TVNET.lv, 15.04.2005., pieejams: </w:t>
      </w:r>
      <w:hyperlink r:id="rId7" w:history="1">
        <w:r w:rsidRPr="003B7A2B">
          <w:rPr>
            <w:rStyle w:val="Hyperlink"/>
            <w:i/>
            <w:color w:val="auto"/>
            <w:u w:val="none"/>
            <w:lang w:val="lv-LV"/>
          </w:rPr>
          <w:t>http://www.tvnet.lv/‌zinas/latvija/206243-latvija_rosina_izveidot_komerctiesu</w:t>
        </w:r>
      </w:hyperlink>
      <w:r w:rsidRPr="00C47BF8">
        <w:rPr>
          <w:lang w:val="lv-LV"/>
        </w:rPr>
        <w:t xml:space="preserve">; </w:t>
      </w:r>
      <w:r w:rsidRPr="00C47BF8">
        <w:rPr>
          <w:color w:val="000000"/>
          <w:lang w:val="lv-LV"/>
        </w:rPr>
        <w:t xml:space="preserve">M. Zālīte, </w:t>
      </w:r>
      <w:r>
        <w:rPr>
          <w:color w:val="000000"/>
          <w:lang w:val="lv-LV"/>
        </w:rPr>
        <w:t>„</w:t>
      </w:r>
      <w:r w:rsidRPr="00C47BF8">
        <w:rPr>
          <w:color w:val="000000"/>
          <w:lang w:val="lv-LV"/>
        </w:rPr>
        <w:t>Latvijā būtu jāievieš komer</w:t>
      </w:r>
      <w:r>
        <w:rPr>
          <w:color w:val="000000"/>
          <w:lang w:val="lv-LV"/>
        </w:rPr>
        <w:t xml:space="preserve">ctiesas”, publicēts: Delfi.lv, </w:t>
      </w:r>
      <w:r w:rsidRPr="00C47BF8">
        <w:rPr>
          <w:color w:val="000000"/>
          <w:lang w:val="lv-LV"/>
        </w:rPr>
        <w:t xml:space="preserve">13.04.2010., pieejams: </w:t>
      </w:r>
      <w:hyperlink r:id="rId8" w:history="1">
        <w:r w:rsidRPr="00766361">
          <w:rPr>
            <w:rStyle w:val="Hyperlink"/>
            <w:i/>
            <w:color w:val="auto"/>
            <w:u w:val="none"/>
            <w:lang w:val="lv-LV"/>
          </w:rPr>
          <w:t>http://www.delfi.lv/news/comment/comment/maija-zalite-latvija-butu-jaievies-komerctie‌sas.d?id=31231893</w:t>
        </w:r>
      </w:hyperlink>
      <w:r w:rsidRPr="00C47BF8">
        <w:rPr>
          <w:color w:val="000000"/>
          <w:lang w:val="lv-LV"/>
        </w:rPr>
        <w:t xml:space="preserve">; </w:t>
      </w:r>
      <w:r w:rsidRPr="00C47BF8">
        <w:rPr>
          <w:lang w:val="lv-LV"/>
        </w:rPr>
        <w:t>M. Ķirsons, „Vēlas komerctiesas”, publicēts: DB.lv, 17.04.</w:t>
      </w:r>
      <w:r w:rsidRPr="00C47BF8">
        <w:rPr>
          <w:rStyle w:val="article-time"/>
          <w:lang w:val="lv-LV"/>
        </w:rPr>
        <w:t xml:space="preserve">2013., </w:t>
      </w:r>
      <w:r w:rsidRPr="00C47BF8">
        <w:rPr>
          <w:color w:val="000000"/>
          <w:lang w:val="lv-LV"/>
        </w:rPr>
        <w:t xml:space="preserve">pieejams: </w:t>
      </w:r>
      <w:hyperlink r:id="rId9" w:history="1">
        <w:r w:rsidRPr="00766361">
          <w:rPr>
            <w:rStyle w:val="Hyperlink"/>
            <w:i/>
            <w:color w:val="auto"/>
            <w:u w:val="none"/>
            <w:lang w:val="lv-LV"/>
          </w:rPr>
          <w:t>http://www.db.lv/laikra‌ksta-arhivs/zinas/velas-komerctiesas-391992</w:t>
        </w:r>
      </w:hyperlink>
      <w:r>
        <w:rPr>
          <w:color w:val="000000"/>
          <w:lang w:val="lv-LV"/>
        </w:rPr>
        <w:t>.</w:t>
      </w:r>
    </w:p>
  </w:footnote>
  <w:footnote w:id="24">
    <w:p w14:paraId="0F323A96" w14:textId="77777777" w:rsidR="00CC6BBC" w:rsidRPr="00C47BF8" w:rsidRDefault="00CC6BBC" w:rsidP="00F66099">
      <w:pPr>
        <w:pStyle w:val="FootnoteText"/>
        <w:ind w:left="0" w:firstLine="0"/>
        <w:contextualSpacing/>
        <w:jc w:val="both"/>
        <w:rPr>
          <w:lang w:val="lv-LV"/>
        </w:rPr>
      </w:pPr>
      <w:r w:rsidRPr="00C47BF8">
        <w:rPr>
          <w:rStyle w:val="FootnoteReference"/>
          <w:lang w:val="lv-LV"/>
        </w:rPr>
        <w:footnoteRef/>
      </w:r>
      <w:r w:rsidRPr="00C47BF8">
        <w:rPr>
          <w:lang w:val="lv-LV"/>
        </w:rPr>
        <w:t xml:space="preserve"> Līdzšinējā Administratīvo tiesu prakse privātpersonu strīdos pret KP rāda, ka privātpersonas var panākt KP lēmumu atcelšanu tikai izņēmuma gadījumos (vairāk par 95% gadījumiem KP admini</w:t>
      </w:r>
      <w:r>
        <w:rPr>
          <w:lang w:val="lv-LV"/>
        </w:rPr>
        <w:t>stratīvajās tiesās uzvar)</w:t>
      </w:r>
      <w:r w:rsidRPr="00C47BF8">
        <w:rPr>
          <w:lang w:val="lv-LV"/>
        </w:rPr>
        <w:t xml:space="preserve"> (sk., piem., KP mājas lapu: </w:t>
      </w:r>
      <w:hyperlink r:id="rId10" w:history="1">
        <w:r w:rsidRPr="00AD6ADB">
          <w:rPr>
            <w:rStyle w:val="Hyperlink"/>
            <w:i/>
            <w:color w:val="auto"/>
            <w:u w:val="none"/>
            <w:lang w:val="lv-LV"/>
          </w:rPr>
          <w:t>http://www.kp.gov.lv/lv/konkurences-padomes-lemumi</w:t>
        </w:r>
      </w:hyperlink>
      <w:r w:rsidRPr="00C47BF8">
        <w:rPr>
          <w:lang w:val="lv-LV"/>
        </w:rPr>
        <w:t>)</w:t>
      </w:r>
      <w:r>
        <w:rPr>
          <w:lang w:val="lv-LV"/>
        </w:rPr>
        <w:t>.</w:t>
      </w:r>
      <w:r w:rsidRPr="00C47BF8">
        <w:rPr>
          <w:lang w:val="lv-LV"/>
        </w:rPr>
        <w:t xml:space="preserve"> </w:t>
      </w:r>
      <w:r w:rsidRPr="00B87DDC">
        <w:rPr>
          <w:lang w:val="lv-LV"/>
        </w:rPr>
        <w:t>Minēt</w:t>
      </w:r>
      <w:r>
        <w:rPr>
          <w:lang w:val="lv-LV"/>
        </w:rPr>
        <w:t>ā visai krasā statistika</w:t>
      </w:r>
      <w:r w:rsidRPr="00B87DDC">
        <w:rPr>
          <w:lang w:val="lv-LV"/>
        </w:rPr>
        <w:t xml:space="preserve"> nebūt</w:t>
      </w:r>
      <w:r>
        <w:rPr>
          <w:lang w:val="lv-LV"/>
        </w:rPr>
        <w:t xml:space="preserve"> nav</w:t>
      </w:r>
      <w:r w:rsidRPr="00B87DDC">
        <w:rPr>
          <w:lang w:val="lv-LV"/>
        </w:rPr>
        <w:t xml:space="preserve"> </w:t>
      </w:r>
      <w:r>
        <w:rPr>
          <w:lang w:val="lv-LV"/>
        </w:rPr>
        <w:t>uzskatāma par viennozīmīgu apliecinājumu tam</w:t>
      </w:r>
      <w:r w:rsidRPr="00B87DDC">
        <w:rPr>
          <w:lang w:val="lv-LV"/>
        </w:rPr>
        <w:t xml:space="preserve">, ka KP lēmumi vienmēr ir labi pamatoti, bet gan </w:t>
      </w:r>
      <w:r>
        <w:rPr>
          <w:lang w:val="lv-LV"/>
        </w:rPr>
        <w:t>varētu norādīt uz šaubām par to, vai</w:t>
      </w:r>
      <w:r w:rsidRPr="00B87DDC">
        <w:rPr>
          <w:lang w:val="lv-LV"/>
        </w:rPr>
        <w:t xml:space="preserve"> Administratīvās tiesas </w:t>
      </w:r>
      <w:r>
        <w:rPr>
          <w:lang w:val="lv-LV"/>
        </w:rPr>
        <w:t>iedziļinās un vi</w:t>
      </w:r>
      <w:r w:rsidRPr="00B87DDC">
        <w:rPr>
          <w:lang w:val="lv-LV"/>
        </w:rPr>
        <w:t xml:space="preserve">spusīgi pārbauda KP lēmumu pamatotību, </w:t>
      </w:r>
      <w:r>
        <w:rPr>
          <w:lang w:val="lv-LV"/>
        </w:rPr>
        <w:t>iespējams,</w:t>
      </w:r>
      <w:r w:rsidRPr="00B87DDC">
        <w:rPr>
          <w:lang w:val="lv-LV"/>
        </w:rPr>
        <w:t xml:space="preserve"> specifisku zināšanu konkurences tiesībās un ekonomikā, kas nepieciešamas, lai veiktu adekvātu KP lēmumu pamatotības izvērtējumu pēc būtības</w:t>
      </w:r>
      <w:r>
        <w:rPr>
          <w:lang w:val="lv-LV"/>
        </w:rPr>
        <w:t>, trūkuma dēļ</w:t>
      </w:r>
      <w:r w:rsidRPr="00B87DDC">
        <w:rPr>
          <w:lang w:val="lv-LV"/>
        </w:rPr>
        <w:t xml:space="preserve">. </w:t>
      </w:r>
      <w:r w:rsidRPr="00C47BF8">
        <w:rPr>
          <w:lang w:val="lv-LV"/>
        </w:rPr>
        <w:t xml:space="preserve">Par to nesen </w:t>
      </w:r>
      <w:r>
        <w:rPr>
          <w:rStyle w:val="Strong"/>
          <w:b w:val="0"/>
          <w:lang w:val="lv-LV"/>
        </w:rPr>
        <w:t>p</w:t>
      </w:r>
      <w:r w:rsidRPr="00B87DDC">
        <w:rPr>
          <w:rStyle w:val="Strong"/>
          <w:b w:val="0"/>
          <w:lang w:val="lv-LV"/>
        </w:rPr>
        <w:t>asaules vadošajam konkurences tematikai veltītajam žurnālam</w:t>
      </w:r>
      <w:r w:rsidRPr="00AD6ADB">
        <w:rPr>
          <w:rStyle w:val="Strong"/>
          <w:b w:val="0"/>
          <w:lang w:val="lv-LV"/>
        </w:rPr>
        <w:t xml:space="preserve"> „</w:t>
      </w:r>
      <w:r w:rsidRPr="00C47BF8">
        <w:rPr>
          <w:rStyle w:val="Emphasis"/>
          <w:bCs/>
          <w:lang w:val="lv-LV"/>
        </w:rPr>
        <w:t>Global Competition Review</w:t>
      </w:r>
      <w:r w:rsidRPr="00AD6ADB">
        <w:rPr>
          <w:rStyle w:val="Strong"/>
          <w:b w:val="0"/>
          <w:lang w:val="lv-LV"/>
        </w:rPr>
        <w:t>”</w:t>
      </w:r>
      <w:r w:rsidRPr="00C47BF8">
        <w:rPr>
          <w:i/>
          <w:lang w:val="lv-LV"/>
        </w:rPr>
        <w:t xml:space="preserve"> </w:t>
      </w:r>
      <w:r w:rsidRPr="00C47BF8">
        <w:rPr>
          <w:lang w:val="lv-LV"/>
        </w:rPr>
        <w:t>sūdzējušies arī Latvij</w:t>
      </w:r>
      <w:r>
        <w:rPr>
          <w:lang w:val="lv-LV"/>
        </w:rPr>
        <w:t>as konkurences tiesību praktiķi</w:t>
      </w:r>
      <w:r w:rsidRPr="00C47BF8">
        <w:rPr>
          <w:lang w:val="lv-LV"/>
        </w:rPr>
        <w:t xml:space="preserve"> (sk., piem., KP mājas lapu: </w:t>
      </w:r>
      <w:hyperlink r:id="rId11" w:history="1">
        <w:r w:rsidRPr="00AD6ADB">
          <w:rPr>
            <w:rStyle w:val="Hyperlink"/>
            <w:i/>
            <w:color w:val="auto"/>
            <w:u w:val="none"/>
            <w:lang w:val="lv-LV"/>
          </w:rPr>
          <w:t>http://www.kp.gov.lv/lv/aktua‌litates/250-konkurences-zurnals-global-competition-review-konkurences-padome-ir-aktiva-un-zinosa-iestade</w:t>
        </w:r>
      </w:hyperlink>
      <w:r>
        <w:rPr>
          <w:lang w:val="lv-LV"/>
        </w:rPr>
        <w:t>).</w:t>
      </w:r>
    </w:p>
  </w:footnote>
  <w:footnote w:id="25">
    <w:p w14:paraId="14FE4511" w14:textId="77777777" w:rsidR="00CC6BBC" w:rsidRPr="00C47BF8" w:rsidRDefault="00CC6BBC" w:rsidP="00F66099">
      <w:pPr>
        <w:pStyle w:val="FootnoteText"/>
        <w:ind w:left="0" w:firstLine="0"/>
        <w:contextualSpacing/>
        <w:jc w:val="both"/>
        <w:rPr>
          <w:lang w:val="lv-LV"/>
        </w:rPr>
      </w:pPr>
      <w:r w:rsidRPr="00C47BF8">
        <w:rPr>
          <w:rStyle w:val="FootnoteReference"/>
          <w:lang w:val="lv-LV"/>
        </w:rPr>
        <w:footnoteRef/>
      </w:r>
      <w:r>
        <w:rPr>
          <w:lang w:val="lv-LV"/>
        </w:rPr>
        <w:t xml:space="preserve"> Sk</w:t>
      </w:r>
      <w:r w:rsidRPr="00C47BF8">
        <w:rPr>
          <w:lang w:val="lv-LV"/>
        </w:rPr>
        <w:t>., Latvijas Zvērinātu advokātu padomes pārskata ziņojumu 2014.gada advokātu kopsapulcei, pieejams Latvijas Zvērinātu advokātu padomē.</w:t>
      </w:r>
    </w:p>
  </w:footnote>
  <w:footnote w:id="26">
    <w:p w14:paraId="79AC55F8" w14:textId="77777777" w:rsidR="00836F9E" w:rsidRPr="00086029" w:rsidRDefault="00836F9E" w:rsidP="00836F9E">
      <w:pPr>
        <w:pStyle w:val="FootnoteText"/>
        <w:ind w:left="0" w:firstLine="0"/>
        <w:jc w:val="both"/>
        <w:rPr>
          <w:lang w:val="lv-LV"/>
        </w:rPr>
      </w:pPr>
      <w:r>
        <w:rPr>
          <w:rStyle w:val="FootnoteReference"/>
        </w:rPr>
        <w:footnoteRef/>
      </w:r>
      <w:r w:rsidRPr="00467DFC">
        <w:rPr>
          <w:lang w:val="lv-LV"/>
        </w:rPr>
        <w:t xml:space="preserve"> </w:t>
      </w:r>
      <w:r w:rsidRPr="00086029">
        <w:rPr>
          <w:bCs/>
          <w:lang w:val="lv-LV"/>
        </w:rPr>
        <w:t>Nostāja, ka ar cesiju uz cesionāru nepāriet līgumā pielīgtā šķīrējtiesas klauzula, ir balstīta uz aptuveni</w:t>
      </w:r>
      <w:r>
        <w:rPr>
          <w:bCs/>
          <w:lang w:val="lv-LV"/>
        </w:rPr>
        <w:t xml:space="preserve"> pirms</w:t>
      </w:r>
      <w:r w:rsidRPr="00086029">
        <w:rPr>
          <w:bCs/>
          <w:lang w:val="lv-LV"/>
        </w:rPr>
        <w:t xml:space="preserve"> desmit gad</w:t>
      </w:r>
      <w:r>
        <w:rPr>
          <w:bCs/>
          <w:lang w:val="lv-LV"/>
        </w:rPr>
        <w:t>iem</w:t>
      </w:r>
      <w:r w:rsidRPr="00086029">
        <w:rPr>
          <w:bCs/>
          <w:lang w:val="lv-LV"/>
        </w:rPr>
        <w:t xml:space="preserve"> </w:t>
      </w:r>
      <w:r>
        <w:rPr>
          <w:bCs/>
          <w:lang w:val="lv-LV"/>
        </w:rPr>
        <w:t>skatītām</w:t>
      </w:r>
      <w:r w:rsidRPr="00086029">
        <w:rPr>
          <w:bCs/>
          <w:lang w:val="lv-LV"/>
        </w:rPr>
        <w:t xml:space="preserve"> Augstākās tiesas Senāta </w:t>
      </w:r>
      <w:r>
        <w:rPr>
          <w:bCs/>
          <w:lang w:val="lv-LV"/>
        </w:rPr>
        <w:t>lietām</w:t>
      </w:r>
      <w:r w:rsidRPr="00086029">
        <w:rPr>
          <w:bCs/>
          <w:lang w:val="lv-LV"/>
        </w:rPr>
        <w:t>, piemēram, Augstākās tiesas Senāta Civillietu departamenta 2004.gada 12.maija lēmumu lietā Nr.SPC-28 un 2005.gada 27</w:t>
      </w:r>
      <w:r>
        <w:rPr>
          <w:bCs/>
          <w:lang w:val="lv-LV"/>
        </w:rPr>
        <w:t>.jūlija lēmumu lietā Nr.SPC-43.</w:t>
      </w:r>
    </w:p>
  </w:footnote>
  <w:footnote w:id="27">
    <w:p w14:paraId="636AFF28" w14:textId="77777777" w:rsidR="005D3EE9" w:rsidRPr="005721CD" w:rsidRDefault="005D3EE9" w:rsidP="005D3EE9">
      <w:pPr>
        <w:pStyle w:val="FootnoteText"/>
        <w:ind w:left="0" w:firstLine="0"/>
        <w:rPr>
          <w:lang w:val="lv-LV"/>
        </w:rPr>
      </w:pPr>
      <w:r w:rsidRPr="005721CD">
        <w:rPr>
          <w:rStyle w:val="FootnoteReference"/>
          <w:lang w:val="lv-LV"/>
        </w:rPr>
        <w:footnoteRef/>
      </w:r>
      <w:r w:rsidRPr="005721CD">
        <w:rPr>
          <w:lang w:val="lv-LV"/>
        </w:rPr>
        <w:t xml:space="preserve"> Civillikuma 1807.pantā ir noteikts, ka „</w:t>
      </w:r>
      <w:r w:rsidRPr="005721CD">
        <w:rPr>
          <w:i/>
          <w:lang w:val="lv-LV"/>
        </w:rPr>
        <w:t>parādnieka stāvoklis ar cesiju nedrīkst pasliktināties, kādēļ cesionārs, ja viņam personīgi pieder kādas priekšrocības pret parādnieku, nedrīkst tās izlietot</w:t>
      </w:r>
      <w:r w:rsidRPr="005721CD">
        <w:rPr>
          <w:lang w:val="lv-LV"/>
        </w:rPr>
        <w:t>”.</w:t>
      </w:r>
    </w:p>
  </w:footnote>
  <w:footnote w:id="28">
    <w:p w14:paraId="1ACB894F" w14:textId="77777777" w:rsidR="005D3EE9" w:rsidRPr="001E7B37" w:rsidRDefault="005D3EE9" w:rsidP="005D3EE9">
      <w:pPr>
        <w:pStyle w:val="FootnoteText"/>
        <w:ind w:left="0" w:firstLine="0"/>
        <w:jc w:val="both"/>
        <w:rPr>
          <w:lang w:val="lv-LV"/>
        </w:rPr>
      </w:pPr>
      <w:r>
        <w:rPr>
          <w:rStyle w:val="FootnoteReference"/>
        </w:rPr>
        <w:footnoteRef/>
      </w:r>
      <w:r>
        <w:t xml:space="preserve"> </w:t>
      </w:r>
      <w:r>
        <w:rPr>
          <w:bCs/>
          <w:lang w:val="lv-LV"/>
        </w:rPr>
        <w:t>Sk</w:t>
      </w:r>
      <w:r w:rsidRPr="001E7B37">
        <w:rPr>
          <w:bCs/>
          <w:lang w:val="lv-LV"/>
        </w:rPr>
        <w:t xml:space="preserve">. </w:t>
      </w:r>
      <w:r>
        <w:rPr>
          <w:bCs/>
          <w:lang w:val="lv-LV"/>
        </w:rPr>
        <w:t xml:space="preserve">Torgāns K. (zin. red.). </w:t>
      </w:r>
      <w:r w:rsidRPr="001E7B37">
        <w:rPr>
          <w:bCs/>
          <w:i/>
          <w:lang w:val="lv-LV"/>
        </w:rPr>
        <w:t>Latvijas Republikas Civillikuma komentāri</w:t>
      </w:r>
      <w:r>
        <w:rPr>
          <w:bCs/>
          <w:i/>
          <w:lang w:val="lv-LV"/>
        </w:rPr>
        <w:t>.</w:t>
      </w:r>
      <w:r w:rsidRPr="001E7B37">
        <w:rPr>
          <w:bCs/>
          <w:i/>
          <w:lang w:val="lv-LV"/>
        </w:rPr>
        <w:t xml:space="preserve"> Ceturtā daļa</w:t>
      </w:r>
      <w:r>
        <w:rPr>
          <w:bCs/>
          <w:i/>
          <w:lang w:val="lv-LV"/>
        </w:rPr>
        <w:t>.</w:t>
      </w:r>
      <w:r w:rsidRPr="001E7B37">
        <w:rPr>
          <w:bCs/>
          <w:i/>
          <w:lang w:val="lv-LV"/>
        </w:rPr>
        <w:t xml:space="preserve"> Saistību tiesības</w:t>
      </w:r>
      <w:r>
        <w:rPr>
          <w:bCs/>
          <w:lang w:val="lv-LV"/>
        </w:rPr>
        <w:t>. Rīga</w:t>
      </w:r>
      <w:r w:rsidRPr="001E7B37">
        <w:rPr>
          <w:bCs/>
          <w:lang w:val="lv-LV"/>
        </w:rPr>
        <w:t>: Mans Īpašums, 2000, 307.lpp.</w:t>
      </w:r>
    </w:p>
  </w:footnote>
  <w:footnote w:id="29">
    <w:p w14:paraId="0D5F6522" w14:textId="77777777" w:rsidR="005D3EE9" w:rsidRPr="00CC5389" w:rsidRDefault="005D3EE9" w:rsidP="005D3EE9">
      <w:pPr>
        <w:pStyle w:val="FootnoteText"/>
        <w:ind w:left="0" w:firstLine="0"/>
        <w:jc w:val="both"/>
        <w:rPr>
          <w:lang w:val="en-GB"/>
        </w:rPr>
      </w:pPr>
      <w:r>
        <w:rPr>
          <w:rStyle w:val="FootnoteReference"/>
        </w:rPr>
        <w:footnoteRef/>
      </w:r>
      <w:r>
        <w:t xml:space="preserve"> </w:t>
      </w:r>
      <w:r>
        <w:rPr>
          <w:lang w:val="lv-LV"/>
        </w:rPr>
        <w:t xml:space="preserve">Sk., piem., </w:t>
      </w:r>
      <w:r w:rsidRPr="00CC5389">
        <w:rPr>
          <w:lang w:val="en-GB"/>
        </w:rPr>
        <w:t xml:space="preserve">Born G. B. </w:t>
      </w:r>
      <w:r w:rsidRPr="00CC5389">
        <w:rPr>
          <w:i/>
          <w:lang w:val="en-GB"/>
        </w:rPr>
        <w:t>International Arbitration: Law and Practice.</w:t>
      </w:r>
      <w:r w:rsidRPr="00CC5389">
        <w:rPr>
          <w:lang w:val="en-GB"/>
        </w:rPr>
        <w:t xml:space="preserve"> Alphen aan den Rijn: Kluwer Law International, 2012,</w:t>
      </w:r>
      <w:r>
        <w:rPr>
          <w:lang w:val="en-GB"/>
        </w:rPr>
        <w:t xml:space="preserve"> p.</w:t>
      </w:r>
      <w:r w:rsidRPr="00CC5389">
        <w:rPr>
          <w:lang w:val="en-GB"/>
        </w:rPr>
        <w:t xml:space="preserve">98; Blackaby N., Partasides C., Redfern A., Hunter M. </w:t>
      </w:r>
      <w:r w:rsidRPr="00CC5389">
        <w:rPr>
          <w:i/>
          <w:lang w:val="en-GB"/>
        </w:rPr>
        <w:t>Redfern and Hunter on International Arbitration.</w:t>
      </w:r>
      <w:r w:rsidRPr="00CC5389">
        <w:rPr>
          <w:lang w:val="en-GB"/>
        </w:rPr>
        <w:t xml:space="preserve"> Oxford: Oxford University Press, 2009, pp.103</w:t>
      </w:r>
      <w:r>
        <w:rPr>
          <w:lang w:val="en-GB"/>
        </w:rPr>
        <w:t>-</w:t>
      </w:r>
      <w:r w:rsidRPr="00CC5389">
        <w:rPr>
          <w:lang w:val="en-GB"/>
        </w:rPr>
        <w:t xml:space="preserve">104, para. 2.48; Lew J. </w:t>
      </w:r>
      <w:r>
        <w:rPr>
          <w:lang w:val="en-GB"/>
        </w:rPr>
        <w:t>D</w:t>
      </w:r>
      <w:r w:rsidRPr="00CC5389">
        <w:rPr>
          <w:lang w:val="en-GB"/>
        </w:rPr>
        <w:t>.</w:t>
      </w:r>
      <w:r>
        <w:rPr>
          <w:lang w:val="en-GB"/>
        </w:rPr>
        <w:t xml:space="preserve"> M</w:t>
      </w:r>
      <w:r w:rsidRPr="00CC5389">
        <w:rPr>
          <w:lang w:val="en-GB"/>
        </w:rPr>
        <w:t>,</w:t>
      </w:r>
      <w:r>
        <w:rPr>
          <w:lang w:val="en-GB"/>
        </w:rPr>
        <w:t xml:space="preserve"> Mistelis L. M., Kröll S.</w:t>
      </w:r>
      <w:r w:rsidRPr="00CC5389">
        <w:rPr>
          <w:lang w:val="en-GB"/>
        </w:rPr>
        <w:t xml:space="preserve"> </w:t>
      </w:r>
      <w:r w:rsidRPr="00CC5389">
        <w:rPr>
          <w:i/>
          <w:lang w:val="en-GB"/>
        </w:rPr>
        <w:t>Comparative International Commercial Arbitration</w:t>
      </w:r>
      <w:r>
        <w:rPr>
          <w:i/>
          <w:lang w:val="en-GB"/>
        </w:rPr>
        <w:t>.</w:t>
      </w:r>
      <w:r>
        <w:rPr>
          <w:lang w:val="en-GB"/>
        </w:rPr>
        <w:t xml:space="preserve"> The Hague: Kluwer Law International, 2003, p.148, para.</w:t>
      </w:r>
      <w:r w:rsidRPr="00CC5389">
        <w:rPr>
          <w:lang w:val="en-GB"/>
        </w:rPr>
        <w:t>7-53.</w:t>
      </w:r>
    </w:p>
  </w:footnote>
  <w:footnote w:id="30">
    <w:p w14:paraId="1FB77D21" w14:textId="77777777" w:rsidR="005D3EE9" w:rsidRPr="006D2949" w:rsidRDefault="005D3EE9" w:rsidP="005D3EE9">
      <w:pPr>
        <w:pStyle w:val="FootnoteText"/>
        <w:ind w:left="0" w:firstLine="0"/>
        <w:jc w:val="both"/>
        <w:rPr>
          <w:lang w:val="lv-LV"/>
        </w:rPr>
      </w:pPr>
      <w:r>
        <w:rPr>
          <w:rStyle w:val="FootnoteReference"/>
        </w:rPr>
        <w:footnoteRef/>
      </w:r>
      <w:r>
        <w:t xml:space="preserve"> </w:t>
      </w:r>
      <w:r w:rsidRPr="006D2949">
        <w:rPr>
          <w:lang w:val="lv-LV"/>
        </w:rPr>
        <w:t xml:space="preserve">Atbilstoši </w:t>
      </w:r>
      <w:r>
        <w:rPr>
          <w:lang w:val="lv-LV"/>
        </w:rPr>
        <w:t>Anglijas</w:t>
      </w:r>
      <w:r w:rsidRPr="006D2949">
        <w:rPr>
          <w:lang w:val="lv-LV"/>
        </w:rPr>
        <w:t xml:space="preserve"> tiesību regulējumam </w:t>
      </w:r>
      <w:r>
        <w:rPr>
          <w:lang w:val="lv-LV"/>
        </w:rPr>
        <w:t>saskaņā ar</w:t>
      </w:r>
      <w:r w:rsidRPr="006D2949">
        <w:rPr>
          <w:lang w:val="lv-LV"/>
        </w:rPr>
        <w:t xml:space="preserve"> 1996.gada Šķīrējtiesu likum</w:t>
      </w:r>
      <w:r>
        <w:rPr>
          <w:lang w:val="lv-LV"/>
        </w:rPr>
        <w:t>u</w:t>
      </w:r>
      <w:r w:rsidRPr="006D2949">
        <w:rPr>
          <w:lang w:val="lv-LV"/>
        </w:rPr>
        <w:t xml:space="preserve"> gadījumā, ja cesionāram tiek cedēti prasījumi no līguma, kurā ir iekļauta šķīrējtiesas klauzula, cesionāram šī šķīrējties</w:t>
      </w:r>
      <w:r>
        <w:rPr>
          <w:lang w:val="lv-LV"/>
        </w:rPr>
        <w:t>as klauzula kļūst saistoša (sk</w:t>
      </w:r>
      <w:r w:rsidRPr="006D2949">
        <w:rPr>
          <w:lang w:val="lv-LV"/>
        </w:rPr>
        <w:t>., piem</w:t>
      </w:r>
      <w:r>
        <w:rPr>
          <w:lang w:val="lv-LV"/>
        </w:rPr>
        <w:t>.</w:t>
      </w:r>
      <w:r w:rsidRPr="006D2949">
        <w:rPr>
          <w:lang w:val="lv-LV"/>
        </w:rPr>
        <w:t>, Anglijas Augstākās komerciālās tiesas 2007.gada 1.augusta spriedumu lietā Nr.</w:t>
      </w:r>
      <w:r>
        <w:rPr>
          <w:lang w:val="lv-LV"/>
        </w:rPr>
        <w:t xml:space="preserve"> </w:t>
      </w:r>
      <w:r w:rsidRPr="006D2949">
        <w:rPr>
          <w:bCs/>
          <w:lang w:val="lv-LV"/>
        </w:rPr>
        <w:t>EWHC 1893).</w:t>
      </w:r>
    </w:p>
  </w:footnote>
  <w:footnote w:id="31">
    <w:p w14:paraId="5D48222B" w14:textId="77777777" w:rsidR="005D3EE9" w:rsidRPr="00CA347D" w:rsidRDefault="005D3EE9" w:rsidP="005D3EE9">
      <w:pPr>
        <w:pStyle w:val="FootnoteText"/>
        <w:ind w:left="0" w:firstLine="0"/>
        <w:jc w:val="both"/>
        <w:rPr>
          <w:lang w:val="lv-LV"/>
        </w:rPr>
      </w:pPr>
      <w:r>
        <w:rPr>
          <w:rStyle w:val="FootnoteReference"/>
        </w:rPr>
        <w:footnoteRef/>
      </w:r>
      <w:r w:rsidRPr="00467DFC">
        <w:rPr>
          <w:lang w:val="lv-LV"/>
        </w:rPr>
        <w:t xml:space="preserve"> </w:t>
      </w:r>
      <w:r w:rsidRPr="00CA347D">
        <w:rPr>
          <w:lang w:val="lv-LV"/>
        </w:rPr>
        <w:t>Francijas tiesu judikatūrā ir nostiprinājies princips, ka starptautiskās šķīrējtiesas klauzula cesijas gadījumā automātiski pāriet uz cesionāru kā nodotajām prasījuma tiesībām pied</w:t>
      </w:r>
      <w:r>
        <w:rPr>
          <w:lang w:val="lv-LV"/>
        </w:rPr>
        <w:t>erīgās tiesības (sk</w:t>
      </w:r>
      <w:r w:rsidRPr="00CA347D">
        <w:rPr>
          <w:lang w:val="lv-LV"/>
        </w:rPr>
        <w:t xml:space="preserve">. Parīzes apelācijas tiesas 2008.gada 19.decembra spriedums, </w:t>
      </w:r>
      <w:r w:rsidRPr="00246BC0">
        <w:rPr>
          <w:i/>
          <w:lang w:val="lv-LV"/>
        </w:rPr>
        <w:t>Revue de l’Arbitrage</w:t>
      </w:r>
      <w:r>
        <w:rPr>
          <w:lang w:val="lv-LV"/>
        </w:rPr>
        <w:t>, 2009, p.377).</w:t>
      </w:r>
    </w:p>
  </w:footnote>
  <w:footnote w:id="32">
    <w:p w14:paraId="3353BAE4" w14:textId="77777777" w:rsidR="005D3EE9" w:rsidRPr="002C53A8" w:rsidRDefault="005D3EE9" w:rsidP="005D3EE9">
      <w:pPr>
        <w:pStyle w:val="FootnoteText"/>
        <w:ind w:left="0" w:firstLine="0"/>
        <w:jc w:val="both"/>
        <w:rPr>
          <w:lang w:val="lv-LV"/>
        </w:rPr>
      </w:pPr>
      <w:r>
        <w:rPr>
          <w:rStyle w:val="FootnoteReference"/>
        </w:rPr>
        <w:footnoteRef/>
      </w:r>
      <w:r w:rsidRPr="00467DFC">
        <w:rPr>
          <w:lang w:val="lv-LV"/>
        </w:rPr>
        <w:t xml:space="preserve"> </w:t>
      </w:r>
      <w:r w:rsidRPr="002C53A8">
        <w:rPr>
          <w:lang w:val="lv-LV"/>
        </w:rPr>
        <w:t>Šāds tiesiskais regulējums izriet no Vācijas Civilkodeksa (Bürgerliches Gesetzbuch) 401.panta, saskaņā ar kuru cedētās prasījuma tiesības ir saistītas ar zināmām piederīgajām tiesībām, kas automātiski pāriet uz cesionāru cesijas rezultātā. Vācijas Augstākā Federālā tiesa šo tiesību normu piemēro pēc analoģijas attiecībā uz šķīrējtiesas klauzulām (sk., piem</w:t>
      </w:r>
      <w:r>
        <w:rPr>
          <w:lang w:val="lv-LV"/>
        </w:rPr>
        <w:t>.</w:t>
      </w:r>
      <w:r w:rsidRPr="002C53A8">
        <w:rPr>
          <w:lang w:val="lv-LV"/>
        </w:rPr>
        <w:t>, Vācijas Augstākās Federālās tiesas 2000.gada 3.maija spriedumu lietā Nr.</w:t>
      </w:r>
      <w:r>
        <w:rPr>
          <w:lang w:val="lv-LV"/>
        </w:rPr>
        <w:t xml:space="preserve"> </w:t>
      </w:r>
      <w:r w:rsidRPr="002C53A8">
        <w:rPr>
          <w:lang w:val="lv-LV"/>
        </w:rPr>
        <w:t>XII ZR 42/98</w:t>
      </w:r>
      <w:r>
        <w:rPr>
          <w:lang w:val="lv-LV"/>
        </w:rPr>
        <w:t xml:space="preserve"> un</w:t>
      </w:r>
      <w:r w:rsidRPr="002C53A8">
        <w:rPr>
          <w:lang w:val="lv-LV"/>
        </w:rPr>
        <w:t xml:space="preserve"> 1997.gada 2.oktobra spriedumu lietā Nr.</w:t>
      </w:r>
      <w:r>
        <w:rPr>
          <w:lang w:val="lv-LV"/>
        </w:rPr>
        <w:t xml:space="preserve"> </w:t>
      </w:r>
      <w:r w:rsidRPr="002C53A8">
        <w:rPr>
          <w:lang w:val="lv-LV"/>
        </w:rPr>
        <w:t>III ZR 2/96).</w:t>
      </w:r>
    </w:p>
  </w:footnote>
  <w:footnote w:id="33">
    <w:p w14:paraId="2E358C8E" w14:textId="77777777" w:rsidR="005D3EE9" w:rsidRPr="00CC5389" w:rsidRDefault="005D3EE9" w:rsidP="005D3EE9">
      <w:pPr>
        <w:pStyle w:val="FootnoteText"/>
        <w:ind w:left="0" w:firstLine="0"/>
        <w:jc w:val="both"/>
        <w:rPr>
          <w:lang w:val="en-GB"/>
        </w:rPr>
      </w:pPr>
      <w:r w:rsidRPr="00CC5389">
        <w:rPr>
          <w:rStyle w:val="FootnoteReference"/>
          <w:lang w:val="en-GB"/>
        </w:rPr>
        <w:footnoteRef/>
      </w:r>
      <w:r w:rsidRPr="00CC5389">
        <w:rPr>
          <w:lang w:val="en-GB"/>
        </w:rPr>
        <w:t xml:space="preserve"> </w:t>
      </w:r>
      <w:r w:rsidRPr="00CC5389">
        <w:rPr>
          <w:lang w:val="lv-LV"/>
        </w:rPr>
        <w:t>Sk., piem.,</w:t>
      </w:r>
      <w:r w:rsidRPr="00CC5389">
        <w:rPr>
          <w:lang w:val="en-GB"/>
        </w:rPr>
        <w:t xml:space="preserve"> Born G. B. </w:t>
      </w:r>
      <w:r w:rsidRPr="00CC5389">
        <w:rPr>
          <w:i/>
          <w:lang w:val="en-GB"/>
        </w:rPr>
        <w:t>International Arbitration: Law and Practice.</w:t>
      </w:r>
      <w:r w:rsidRPr="00CC5389">
        <w:rPr>
          <w:lang w:val="en-GB"/>
        </w:rPr>
        <w:t xml:space="preserve"> Alphen aan den Rijn: Klu</w:t>
      </w:r>
      <w:r>
        <w:rPr>
          <w:lang w:val="en-GB"/>
        </w:rPr>
        <w:t>wer Law International, 2012, p.</w:t>
      </w:r>
      <w:r w:rsidRPr="00CC5389">
        <w:rPr>
          <w:lang w:val="en-GB"/>
        </w:rPr>
        <w:t xml:space="preserve">98; Blackaby N., Partasides C., Redfern A., Hunter M. </w:t>
      </w:r>
      <w:r w:rsidRPr="00CC5389">
        <w:rPr>
          <w:i/>
          <w:lang w:val="en-GB"/>
        </w:rPr>
        <w:t>Redfern and Hunter on International Arbitration.</w:t>
      </w:r>
      <w:r w:rsidRPr="00CC5389">
        <w:rPr>
          <w:lang w:val="en-GB"/>
        </w:rPr>
        <w:t xml:space="preserve"> Oxford: Oxford University Press, 2009, pp.103</w:t>
      </w:r>
      <w:r>
        <w:rPr>
          <w:lang w:val="en-GB"/>
        </w:rPr>
        <w:t>-104, para.</w:t>
      </w:r>
      <w:r w:rsidRPr="00CC5389">
        <w:rPr>
          <w:lang w:val="en-GB"/>
        </w:rPr>
        <w:t>2.48.</w:t>
      </w:r>
    </w:p>
  </w:footnote>
  <w:footnote w:id="34">
    <w:p w14:paraId="575DE140" w14:textId="77777777" w:rsidR="005D3EE9" w:rsidRPr="00CA347D" w:rsidRDefault="005D3EE9" w:rsidP="005D3EE9">
      <w:pPr>
        <w:pStyle w:val="FootnoteText"/>
        <w:ind w:left="0" w:firstLine="0"/>
        <w:jc w:val="both"/>
        <w:rPr>
          <w:lang w:val="lv-LV"/>
        </w:rPr>
      </w:pPr>
      <w:r>
        <w:rPr>
          <w:rStyle w:val="FootnoteReference"/>
        </w:rPr>
        <w:footnoteRef/>
      </w:r>
      <w:r>
        <w:t xml:space="preserve"> </w:t>
      </w:r>
      <w:r w:rsidRPr="00CA347D">
        <w:rPr>
          <w:lang w:val="lv-LV"/>
        </w:rPr>
        <w:t>Zviedrijas Augstākā tiesas judikatūrā (sk. 1997.gada 15.oktobra spriedumu NJA 1997 s.866) ir atzinusi, ka šķīrējtiesas klauzula ir saistoša arī tiesību pārņēmējam (cesionāram).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0344B" w14:textId="6D7E1CC7" w:rsidR="003222AC" w:rsidRDefault="003222AC" w:rsidP="00643B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52D76C" w14:textId="77777777" w:rsidR="003222AC" w:rsidRDefault="003222AC" w:rsidP="003222A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80B32" w14:textId="1A230338" w:rsidR="00CC6BBC" w:rsidRPr="00F77E37" w:rsidRDefault="00CC6BBC" w:rsidP="003222AC">
    <w:pPr>
      <w:pStyle w:val="Header"/>
      <w:ind w:right="360"/>
      <w:jc w:val="right"/>
      <w:rPr>
        <w:lang w:val="lv-LV"/>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89B41" w14:textId="462DFE35" w:rsidR="003222AC" w:rsidRDefault="003222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Heading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10B2375"/>
    <w:multiLevelType w:val="multilevel"/>
    <w:tmpl w:val="2B608D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6C26178"/>
    <w:multiLevelType w:val="multilevel"/>
    <w:tmpl w:val="05E8049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9EB1F5C"/>
    <w:multiLevelType w:val="multilevel"/>
    <w:tmpl w:val="C91A71A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C177CF2"/>
    <w:multiLevelType w:val="hybridMultilevel"/>
    <w:tmpl w:val="6D2A5FF4"/>
    <w:lvl w:ilvl="0" w:tplc="61F6A698">
      <w:start w:val="1"/>
      <w:numFmt w:val="decimal"/>
      <w:lvlText w:val="%1."/>
      <w:lvlJc w:val="left"/>
      <w:pPr>
        <w:ind w:left="720" w:hanging="360"/>
      </w:pPr>
      <w:rPr>
        <w:rFonts w:hint="default"/>
        <w:b w:val="0"/>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0FF300B6"/>
    <w:multiLevelType w:val="multilevel"/>
    <w:tmpl w:val="D1788162"/>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48C7438"/>
    <w:multiLevelType w:val="multilevel"/>
    <w:tmpl w:val="D76E3E82"/>
    <w:lvl w:ilvl="0">
      <w:start w:val="1"/>
      <w:numFmt w:val="decimal"/>
      <w:lvlText w:val="%1."/>
      <w:lvlJc w:val="righ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4953A0A"/>
    <w:multiLevelType w:val="multilevel"/>
    <w:tmpl w:val="7F648DA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48C15A20"/>
    <w:multiLevelType w:val="multilevel"/>
    <w:tmpl w:val="B170AA8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1933CC4"/>
    <w:multiLevelType w:val="multilevel"/>
    <w:tmpl w:val="63506DF4"/>
    <w:lvl w:ilvl="0">
      <w:start w:val="3"/>
      <w:numFmt w:val="decimal"/>
      <w:lvlText w:val="%1."/>
      <w:lvlJc w:val="left"/>
      <w:pPr>
        <w:tabs>
          <w:tab w:val="num" w:pos="480"/>
        </w:tabs>
        <w:ind w:left="480" w:hanging="480"/>
      </w:pPr>
      <w:rPr>
        <w:rFonts w:cs="Times New Roman"/>
      </w:rPr>
    </w:lvl>
    <w:lvl w:ilvl="1">
      <w:start w:val="1"/>
      <w:numFmt w:val="decimal"/>
      <w:pStyle w:val="apakvirsraksts"/>
      <w:lvlText w:val="%1.%2."/>
      <w:lvlJc w:val="left"/>
      <w:pPr>
        <w:tabs>
          <w:tab w:val="num" w:pos="480"/>
        </w:tabs>
        <w:ind w:left="480" w:hanging="480"/>
      </w:pPr>
      <w:rPr>
        <w:rFonts w:cs="Times New Roman"/>
        <w:sz w:val="24"/>
        <w:szCs w:val="24"/>
      </w:rPr>
    </w:lvl>
    <w:lvl w:ilvl="2">
      <w:start w:val="1"/>
      <w:numFmt w:val="decimal"/>
      <w:pStyle w:val="daasvirsraksts"/>
      <w:lvlText w:val="%1.%2.%3."/>
      <w:lvlJc w:val="left"/>
      <w:pPr>
        <w:tabs>
          <w:tab w:val="num" w:pos="900"/>
        </w:tabs>
        <w:ind w:left="900" w:hanging="720"/>
      </w:pPr>
      <w:rPr>
        <w:rFonts w:cs="Times New Roman"/>
        <w:sz w:val="20"/>
        <w:szCs w:val="20"/>
      </w:rPr>
    </w:lvl>
    <w:lvl w:ilvl="3">
      <w:start w:val="1"/>
      <w:numFmt w:val="decimal"/>
      <w:pStyle w:val="apaknodaasvirsraksts"/>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nsid w:val="5C1C7519"/>
    <w:multiLevelType w:val="multilevel"/>
    <w:tmpl w:val="28A6B9E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69E422FB"/>
    <w:multiLevelType w:val="multilevel"/>
    <w:tmpl w:val="F920F77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924"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5"/>
  </w:num>
  <w:num w:numId="7">
    <w:abstractNumId w:val="4"/>
  </w:num>
  <w:num w:numId="8">
    <w:abstractNumId w:val="8"/>
  </w:num>
  <w:num w:numId="9">
    <w:abstractNumId w:val="3"/>
  </w:num>
  <w:num w:numId="10">
    <w:abstractNumId w:val="11"/>
  </w:num>
  <w:num w:numId="11">
    <w:abstractNumId w:val="7"/>
  </w:num>
  <w:num w:numId="1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D8F"/>
    <w:rsid w:val="00001FFD"/>
    <w:rsid w:val="00016D94"/>
    <w:rsid w:val="00023266"/>
    <w:rsid w:val="000315D4"/>
    <w:rsid w:val="00052B41"/>
    <w:rsid w:val="00055591"/>
    <w:rsid w:val="000578DC"/>
    <w:rsid w:val="00066954"/>
    <w:rsid w:val="000770F8"/>
    <w:rsid w:val="00080A1D"/>
    <w:rsid w:val="00086029"/>
    <w:rsid w:val="000A1EA7"/>
    <w:rsid w:val="000B65F4"/>
    <w:rsid w:val="000B7E23"/>
    <w:rsid w:val="000C3ED3"/>
    <w:rsid w:val="000C5B7B"/>
    <w:rsid w:val="000E7579"/>
    <w:rsid w:val="000F4388"/>
    <w:rsid w:val="000F6998"/>
    <w:rsid w:val="00100988"/>
    <w:rsid w:val="00100A3B"/>
    <w:rsid w:val="001035D7"/>
    <w:rsid w:val="001043FB"/>
    <w:rsid w:val="001074D5"/>
    <w:rsid w:val="00115094"/>
    <w:rsid w:val="001167AE"/>
    <w:rsid w:val="00122309"/>
    <w:rsid w:val="00130319"/>
    <w:rsid w:val="00130D27"/>
    <w:rsid w:val="00141305"/>
    <w:rsid w:val="00150EF5"/>
    <w:rsid w:val="00150F94"/>
    <w:rsid w:val="00152FF3"/>
    <w:rsid w:val="00170F48"/>
    <w:rsid w:val="00174D6E"/>
    <w:rsid w:val="00192326"/>
    <w:rsid w:val="001933A5"/>
    <w:rsid w:val="0019438E"/>
    <w:rsid w:val="001A1A30"/>
    <w:rsid w:val="001A5986"/>
    <w:rsid w:val="001B7C39"/>
    <w:rsid w:val="001E637D"/>
    <w:rsid w:val="001E7B37"/>
    <w:rsid w:val="00203FEE"/>
    <w:rsid w:val="0020520B"/>
    <w:rsid w:val="0021047B"/>
    <w:rsid w:val="002119AC"/>
    <w:rsid w:val="002138FE"/>
    <w:rsid w:val="00230C1A"/>
    <w:rsid w:val="00236D6A"/>
    <w:rsid w:val="00246BC0"/>
    <w:rsid w:val="00260F10"/>
    <w:rsid w:val="002732AD"/>
    <w:rsid w:val="00273726"/>
    <w:rsid w:val="0027789A"/>
    <w:rsid w:val="00280944"/>
    <w:rsid w:val="0028662A"/>
    <w:rsid w:val="00293619"/>
    <w:rsid w:val="0029381A"/>
    <w:rsid w:val="002A12FC"/>
    <w:rsid w:val="002A3923"/>
    <w:rsid w:val="002A64FD"/>
    <w:rsid w:val="002A772E"/>
    <w:rsid w:val="002A7CA7"/>
    <w:rsid w:val="002B6249"/>
    <w:rsid w:val="002C26ED"/>
    <w:rsid w:val="002C3764"/>
    <w:rsid w:val="002C4406"/>
    <w:rsid w:val="002C53A8"/>
    <w:rsid w:val="002D286E"/>
    <w:rsid w:val="002D2B7E"/>
    <w:rsid w:val="002D402C"/>
    <w:rsid w:val="002F2833"/>
    <w:rsid w:val="002F4EEF"/>
    <w:rsid w:val="0032121D"/>
    <w:rsid w:val="003222AC"/>
    <w:rsid w:val="00330085"/>
    <w:rsid w:val="003427D7"/>
    <w:rsid w:val="0037249B"/>
    <w:rsid w:val="00375D69"/>
    <w:rsid w:val="0037721F"/>
    <w:rsid w:val="003961B6"/>
    <w:rsid w:val="003966EA"/>
    <w:rsid w:val="003A0F25"/>
    <w:rsid w:val="003B6344"/>
    <w:rsid w:val="003B7A2B"/>
    <w:rsid w:val="003C13EC"/>
    <w:rsid w:val="003C32C9"/>
    <w:rsid w:val="003D6D8F"/>
    <w:rsid w:val="003F26D6"/>
    <w:rsid w:val="003F5D85"/>
    <w:rsid w:val="00405A90"/>
    <w:rsid w:val="004071CF"/>
    <w:rsid w:val="004226ED"/>
    <w:rsid w:val="00422D10"/>
    <w:rsid w:val="0043073C"/>
    <w:rsid w:val="004324D0"/>
    <w:rsid w:val="004370A9"/>
    <w:rsid w:val="0044713D"/>
    <w:rsid w:val="004504E9"/>
    <w:rsid w:val="00454125"/>
    <w:rsid w:val="00456404"/>
    <w:rsid w:val="0046368C"/>
    <w:rsid w:val="00463FE8"/>
    <w:rsid w:val="0046493A"/>
    <w:rsid w:val="00467DFC"/>
    <w:rsid w:val="00472816"/>
    <w:rsid w:val="00473ED7"/>
    <w:rsid w:val="00477213"/>
    <w:rsid w:val="00480ED5"/>
    <w:rsid w:val="00486B4F"/>
    <w:rsid w:val="00487877"/>
    <w:rsid w:val="004B0CBA"/>
    <w:rsid w:val="004B557D"/>
    <w:rsid w:val="004C1217"/>
    <w:rsid w:val="004C2B4F"/>
    <w:rsid w:val="004D09B3"/>
    <w:rsid w:val="004D17BD"/>
    <w:rsid w:val="004F458F"/>
    <w:rsid w:val="004F4AD8"/>
    <w:rsid w:val="00501B1C"/>
    <w:rsid w:val="0053450A"/>
    <w:rsid w:val="0054404A"/>
    <w:rsid w:val="0054527A"/>
    <w:rsid w:val="00551B78"/>
    <w:rsid w:val="00551C4B"/>
    <w:rsid w:val="00551FEF"/>
    <w:rsid w:val="00570D0E"/>
    <w:rsid w:val="005721CD"/>
    <w:rsid w:val="00572363"/>
    <w:rsid w:val="00573984"/>
    <w:rsid w:val="00577BBA"/>
    <w:rsid w:val="00580D84"/>
    <w:rsid w:val="00591800"/>
    <w:rsid w:val="00593227"/>
    <w:rsid w:val="005A616A"/>
    <w:rsid w:val="005B10C3"/>
    <w:rsid w:val="005B3ABD"/>
    <w:rsid w:val="005B3AD3"/>
    <w:rsid w:val="005C0902"/>
    <w:rsid w:val="005C7151"/>
    <w:rsid w:val="005D0CB8"/>
    <w:rsid w:val="005D2260"/>
    <w:rsid w:val="005D3EE9"/>
    <w:rsid w:val="005F7B0F"/>
    <w:rsid w:val="0060263F"/>
    <w:rsid w:val="00615438"/>
    <w:rsid w:val="006215A5"/>
    <w:rsid w:val="00623A99"/>
    <w:rsid w:val="00625F54"/>
    <w:rsid w:val="006267AA"/>
    <w:rsid w:val="006306D9"/>
    <w:rsid w:val="00653ADF"/>
    <w:rsid w:val="006645EE"/>
    <w:rsid w:val="00682139"/>
    <w:rsid w:val="00695DBB"/>
    <w:rsid w:val="006A19A6"/>
    <w:rsid w:val="006A69DF"/>
    <w:rsid w:val="006A6E00"/>
    <w:rsid w:val="006C3DD1"/>
    <w:rsid w:val="006C50C9"/>
    <w:rsid w:val="006C76B8"/>
    <w:rsid w:val="006D2682"/>
    <w:rsid w:val="006D2949"/>
    <w:rsid w:val="006D3678"/>
    <w:rsid w:val="006D62D6"/>
    <w:rsid w:val="006E0EE7"/>
    <w:rsid w:val="006F40C4"/>
    <w:rsid w:val="007010ED"/>
    <w:rsid w:val="00701796"/>
    <w:rsid w:val="007063A2"/>
    <w:rsid w:val="00721DB5"/>
    <w:rsid w:val="007241A9"/>
    <w:rsid w:val="00746F22"/>
    <w:rsid w:val="00750450"/>
    <w:rsid w:val="007650D1"/>
    <w:rsid w:val="00766361"/>
    <w:rsid w:val="007A5374"/>
    <w:rsid w:val="007A628B"/>
    <w:rsid w:val="007C12FC"/>
    <w:rsid w:val="007C160A"/>
    <w:rsid w:val="007C7707"/>
    <w:rsid w:val="007E0913"/>
    <w:rsid w:val="007E1C21"/>
    <w:rsid w:val="00810E05"/>
    <w:rsid w:val="00814DBD"/>
    <w:rsid w:val="008172DF"/>
    <w:rsid w:val="00817827"/>
    <w:rsid w:val="00820D87"/>
    <w:rsid w:val="00827C1F"/>
    <w:rsid w:val="00830BEE"/>
    <w:rsid w:val="00836F9E"/>
    <w:rsid w:val="00842243"/>
    <w:rsid w:val="00845E8A"/>
    <w:rsid w:val="00856225"/>
    <w:rsid w:val="00856B92"/>
    <w:rsid w:val="008769D7"/>
    <w:rsid w:val="0088107E"/>
    <w:rsid w:val="0088466D"/>
    <w:rsid w:val="00885374"/>
    <w:rsid w:val="00886B4E"/>
    <w:rsid w:val="0089696B"/>
    <w:rsid w:val="008C39E4"/>
    <w:rsid w:val="008C433D"/>
    <w:rsid w:val="008C639E"/>
    <w:rsid w:val="008C6C72"/>
    <w:rsid w:val="008D10C5"/>
    <w:rsid w:val="008D60DB"/>
    <w:rsid w:val="008D6F0D"/>
    <w:rsid w:val="008F2006"/>
    <w:rsid w:val="009060FF"/>
    <w:rsid w:val="00912799"/>
    <w:rsid w:val="00913DE2"/>
    <w:rsid w:val="009149DB"/>
    <w:rsid w:val="00922892"/>
    <w:rsid w:val="00930D7E"/>
    <w:rsid w:val="00944948"/>
    <w:rsid w:val="00946093"/>
    <w:rsid w:val="00946F6F"/>
    <w:rsid w:val="00957D09"/>
    <w:rsid w:val="009977F0"/>
    <w:rsid w:val="009A4176"/>
    <w:rsid w:val="009B1097"/>
    <w:rsid w:val="009B69A6"/>
    <w:rsid w:val="009C3D35"/>
    <w:rsid w:val="009D7B3D"/>
    <w:rsid w:val="009F137B"/>
    <w:rsid w:val="009F49CB"/>
    <w:rsid w:val="009F5A98"/>
    <w:rsid w:val="00A0283B"/>
    <w:rsid w:val="00A03493"/>
    <w:rsid w:val="00A04267"/>
    <w:rsid w:val="00A06F26"/>
    <w:rsid w:val="00A21F12"/>
    <w:rsid w:val="00A245E3"/>
    <w:rsid w:val="00A30736"/>
    <w:rsid w:val="00A35BA7"/>
    <w:rsid w:val="00A7459F"/>
    <w:rsid w:val="00A76A04"/>
    <w:rsid w:val="00A8382A"/>
    <w:rsid w:val="00A85F9D"/>
    <w:rsid w:val="00A86224"/>
    <w:rsid w:val="00A86FF2"/>
    <w:rsid w:val="00A876A6"/>
    <w:rsid w:val="00AA4649"/>
    <w:rsid w:val="00AB11C0"/>
    <w:rsid w:val="00AB425E"/>
    <w:rsid w:val="00AD6ADB"/>
    <w:rsid w:val="00AE4105"/>
    <w:rsid w:val="00B0091F"/>
    <w:rsid w:val="00B0293E"/>
    <w:rsid w:val="00B22212"/>
    <w:rsid w:val="00B27CA5"/>
    <w:rsid w:val="00B35152"/>
    <w:rsid w:val="00B35320"/>
    <w:rsid w:val="00B37DD8"/>
    <w:rsid w:val="00B47C59"/>
    <w:rsid w:val="00B502CC"/>
    <w:rsid w:val="00B54072"/>
    <w:rsid w:val="00B87055"/>
    <w:rsid w:val="00B87DDC"/>
    <w:rsid w:val="00B915E1"/>
    <w:rsid w:val="00B974A5"/>
    <w:rsid w:val="00BA7227"/>
    <w:rsid w:val="00BB6F32"/>
    <w:rsid w:val="00BB7A1A"/>
    <w:rsid w:val="00BC3533"/>
    <w:rsid w:val="00BD28A8"/>
    <w:rsid w:val="00BE1359"/>
    <w:rsid w:val="00BE6916"/>
    <w:rsid w:val="00BE6A00"/>
    <w:rsid w:val="00BF2BDD"/>
    <w:rsid w:val="00C0300A"/>
    <w:rsid w:val="00C0790B"/>
    <w:rsid w:val="00C32E84"/>
    <w:rsid w:val="00C373A1"/>
    <w:rsid w:val="00C47BF8"/>
    <w:rsid w:val="00C54C80"/>
    <w:rsid w:val="00C71614"/>
    <w:rsid w:val="00C75A8D"/>
    <w:rsid w:val="00C801D3"/>
    <w:rsid w:val="00C836E4"/>
    <w:rsid w:val="00C91D83"/>
    <w:rsid w:val="00C96CE5"/>
    <w:rsid w:val="00CA347D"/>
    <w:rsid w:val="00CB62D8"/>
    <w:rsid w:val="00CB64B9"/>
    <w:rsid w:val="00CC2A6F"/>
    <w:rsid w:val="00CC5389"/>
    <w:rsid w:val="00CC6BBC"/>
    <w:rsid w:val="00CE27E8"/>
    <w:rsid w:val="00CF1B4F"/>
    <w:rsid w:val="00D0081E"/>
    <w:rsid w:val="00D07F0C"/>
    <w:rsid w:val="00D27D81"/>
    <w:rsid w:val="00D36032"/>
    <w:rsid w:val="00D36937"/>
    <w:rsid w:val="00D40B40"/>
    <w:rsid w:val="00D464CA"/>
    <w:rsid w:val="00D46EDF"/>
    <w:rsid w:val="00D7395F"/>
    <w:rsid w:val="00D75ECF"/>
    <w:rsid w:val="00D86259"/>
    <w:rsid w:val="00D97EF1"/>
    <w:rsid w:val="00DA68A6"/>
    <w:rsid w:val="00DA71F9"/>
    <w:rsid w:val="00DB5260"/>
    <w:rsid w:val="00DB557C"/>
    <w:rsid w:val="00DB799D"/>
    <w:rsid w:val="00DC5B07"/>
    <w:rsid w:val="00DD371E"/>
    <w:rsid w:val="00DF2F3E"/>
    <w:rsid w:val="00DF7489"/>
    <w:rsid w:val="00E1005F"/>
    <w:rsid w:val="00E163D0"/>
    <w:rsid w:val="00E3166C"/>
    <w:rsid w:val="00E40C86"/>
    <w:rsid w:val="00E46A9E"/>
    <w:rsid w:val="00E47DDC"/>
    <w:rsid w:val="00E520B9"/>
    <w:rsid w:val="00E52EAC"/>
    <w:rsid w:val="00E632F4"/>
    <w:rsid w:val="00E77CDB"/>
    <w:rsid w:val="00E86ED1"/>
    <w:rsid w:val="00E93ED9"/>
    <w:rsid w:val="00E9753B"/>
    <w:rsid w:val="00EA1834"/>
    <w:rsid w:val="00EC15B4"/>
    <w:rsid w:val="00EC1CA4"/>
    <w:rsid w:val="00EC4A99"/>
    <w:rsid w:val="00EC6939"/>
    <w:rsid w:val="00ED0A00"/>
    <w:rsid w:val="00EE3163"/>
    <w:rsid w:val="00EE31FA"/>
    <w:rsid w:val="00EE3D94"/>
    <w:rsid w:val="00EE3E9C"/>
    <w:rsid w:val="00EE4A16"/>
    <w:rsid w:val="00EF1211"/>
    <w:rsid w:val="00EF42C6"/>
    <w:rsid w:val="00EF79FF"/>
    <w:rsid w:val="00F00362"/>
    <w:rsid w:val="00F026EF"/>
    <w:rsid w:val="00F211CC"/>
    <w:rsid w:val="00F23DB3"/>
    <w:rsid w:val="00F26756"/>
    <w:rsid w:val="00F30FF2"/>
    <w:rsid w:val="00F43ACD"/>
    <w:rsid w:val="00F4514D"/>
    <w:rsid w:val="00F539AE"/>
    <w:rsid w:val="00F65EB2"/>
    <w:rsid w:val="00F66099"/>
    <w:rsid w:val="00F7333D"/>
    <w:rsid w:val="00F77E37"/>
    <w:rsid w:val="00F80E28"/>
    <w:rsid w:val="00F8795D"/>
    <w:rsid w:val="00F9070D"/>
    <w:rsid w:val="00FA6485"/>
    <w:rsid w:val="00FB18D9"/>
    <w:rsid w:val="00FB5D56"/>
    <w:rsid w:val="00FC457E"/>
    <w:rsid w:val="00FC70F3"/>
    <w:rsid w:val="00FC7AF1"/>
    <w:rsid w:val="00FD16B3"/>
    <w:rsid w:val="00FD7751"/>
    <w:rsid w:val="00FF2DC2"/>
    <w:rsid w:val="00FF5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C1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pPr>
      <w:suppressAutoHyphens/>
    </w:pPr>
    <w:rPr>
      <w:snapToGrid w:val="0"/>
      <w:lang w:eastAsia="lv-LV"/>
    </w:rPr>
  </w:style>
  <w:style w:type="paragraph" w:styleId="Heading1">
    <w:name w:val="heading 1"/>
    <w:basedOn w:val="Normal"/>
    <w:next w:val="Normal"/>
    <w:qFormat/>
    <w:pPr>
      <w:keepNext/>
      <w:numPr>
        <w:numId w:val="1"/>
      </w:numPr>
      <w:outlineLvl w:val="0"/>
    </w:pPr>
    <w:rPr>
      <w:rFonts w:ascii="Arial" w:hAnsi="Arial"/>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3z0">
    <w:name w:val="WW8Num3z0"/>
    <w:rPr>
      <w:rFonts w:ascii="Wingdings" w:hAnsi="Wingdings"/>
      <w:sz w:val="16"/>
    </w:rPr>
  </w:style>
  <w:style w:type="character" w:customStyle="1" w:styleId="WW8Num6z0">
    <w:name w:val="WW8Num6z0"/>
    <w:rPr>
      <w:rFonts w:ascii="Symbol" w:hAnsi="Symbol"/>
    </w:rPr>
  </w:style>
  <w:style w:type="character" w:customStyle="1" w:styleId="WW8Num7z0">
    <w:name w:val="WW8Num7z0"/>
    <w:rPr>
      <w:rFonts w:ascii="Symbol" w:hAnsi="Symbol"/>
      <w:color w:val="000000"/>
    </w:rPr>
  </w:style>
  <w:style w:type="character" w:customStyle="1" w:styleId="WW8Num8z0">
    <w:name w:val="WW8Num8z0"/>
    <w:rPr>
      <w:rFonts w:ascii="Arial Unicode MS" w:hAnsi="Arial Unicode MS"/>
    </w:rPr>
  </w:style>
  <w:style w:type="character" w:customStyle="1" w:styleId="WW8Num9z0">
    <w:name w:val="WW8Num9z0"/>
    <w:rPr>
      <w:rFonts w:ascii="Arial Unicode MS" w:hAnsi="Arial Unicode MS"/>
    </w:rPr>
  </w:style>
  <w:style w:type="character" w:customStyle="1" w:styleId="WW8Num10z0">
    <w:name w:val="WW8Num10z0"/>
    <w:rPr>
      <w:rFonts w:ascii="Arial Unicode MS" w:hAnsi="Arial Unicode MS"/>
    </w:rPr>
  </w:style>
  <w:style w:type="character" w:customStyle="1" w:styleId="WW8Num11z0">
    <w:name w:val="WW8Num11z0"/>
    <w:rPr>
      <w:rFonts w:ascii="Symbol" w:hAnsi="Symbol"/>
    </w:rPr>
  </w:style>
  <w:style w:type="character" w:customStyle="1" w:styleId="WW8Num13z0">
    <w:name w:val="WW8Num13z0"/>
    <w:rPr>
      <w:rFonts w:ascii="Arial Unicode MS" w:hAnsi="Arial Unicode MS"/>
    </w:rPr>
  </w:style>
  <w:style w:type="character" w:customStyle="1" w:styleId="WW8Num14z0">
    <w:name w:val="WW8Num14z0"/>
    <w:rPr>
      <w:rFonts w:ascii="Symbol" w:hAnsi="Symbol"/>
    </w:rPr>
  </w:style>
  <w:style w:type="character" w:customStyle="1" w:styleId="WW8Num16z0">
    <w:name w:val="WW8Num16z0"/>
    <w:rPr>
      <w:rFonts w:ascii="Arial Unicode MS" w:hAnsi="Arial Unicode MS"/>
    </w:rPr>
  </w:style>
  <w:style w:type="character" w:customStyle="1" w:styleId="WW8Num17z0">
    <w:name w:val="WW8Num17z0"/>
    <w:rPr>
      <w:rFonts w:ascii="Symbol" w:hAnsi="Symbol"/>
    </w:rPr>
  </w:style>
  <w:style w:type="character" w:customStyle="1" w:styleId="WW8Num18z0">
    <w:name w:val="WW8Num18z0"/>
    <w:rPr>
      <w:rFonts w:ascii="Arial Unicode MS" w:hAnsi="Arial Unicode MS"/>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4z0">
    <w:name w:val="WW8Num24z0"/>
    <w:rPr>
      <w:rFonts w:ascii="Symbol" w:hAnsi="Symbol"/>
    </w:rPr>
  </w:style>
  <w:style w:type="character" w:customStyle="1" w:styleId="WW8NumSt7z0">
    <w:name w:val="WW8NumSt7z0"/>
    <w:rPr>
      <w:rFonts w:ascii="Wingdings" w:hAnsi="Wingdings"/>
      <w:sz w:val="16"/>
    </w:rPr>
  </w:style>
  <w:style w:type="character" w:customStyle="1" w:styleId="WW8NumSt18z0">
    <w:name w:val="WW8NumSt18z0"/>
    <w:rPr>
      <w:rFonts w:ascii="Wingdings" w:hAnsi="Wingdings"/>
      <w:color w:val="000000"/>
      <w:sz w:val="16"/>
    </w:rPr>
  </w:style>
  <w:style w:type="character" w:customStyle="1" w:styleId="WW8NumSt19z0">
    <w:name w:val="WW8NumSt19z0"/>
    <w:rPr>
      <w:rFonts w:ascii="Symbol" w:hAnsi="Symbol"/>
    </w:rPr>
  </w:style>
  <w:style w:type="character" w:styleId="Hyperlink">
    <w:name w:val="Hyperlink"/>
    <w:uiPriority w:val="99"/>
    <w:rPr>
      <w:color w:val="0000FF"/>
      <w:u w:val="single"/>
    </w:rPr>
  </w:style>
  <w:style w:type="character" w:customStyle="1" w:styleId="guidelines">
    <w:name w:val="guidelines"/>
    <w:rPr>
      <w:rFonts w:ascii="Arial" w:hAnsi="Arial"/>
      <w:i/>
      <w:color w:val="FF0000"/>
      <w:sz w:val="20"/>
    </w:rPr>
  </w:style>
  <w:style w:type="character" w:customStyle="1" w:styleId="texthere">
    <w:name w:val="texthere"/>
    <w:rPr>
      <w:rFonts w:ascii="Arial" w:hAnsi="Arial"/>
      <w:color w:val="000000"/>
      <w:sz w:val="18"/>
    </w:rPr>
  </w:style>
  <w:style w:type="character" w:styleId="PageNumber">
    <w:name w:val="page number"/>
    <w:semiHidden/>
    <w:rPr>
      <w:rFonts w:cs="Times New Roman"/>
    </w:rPr>
  </w:style>
  <w:style w:type="character" w:customStyle="1" w:styleId="GirtsFICIL">
    <w:name w:val="Girts FICIL"/>
    <w:rPr>
      <w:rFonts w:ascii="Arial" w:hAnsi="Arial"/>
      <w:color w:val="auto"/>
      <w:sz w:val="20"/>
    </w:rPr>
  </w:style>
  <w:style w:type="character" w:customStyle="1" w:styleId="Fodnotetegn">
    <w:name w:val="Fodnotetegn"/>
    <w:rPr>
      <w:vertAlign w:val="superscript"/>
    </w:rPr>
  </w:style>
  <w:style w:type="character" w:styleId="FootnoteReference">
    <w:name w:val="footnote reference"/>
    <w:uiPriority w:val="99"/>
    <w:rPr>
      <w:vertAlign w:val="superscript"/>
    </w:rPr>
  </w:style>
  <w:style w:type="character" w:customStyle="1" w:styleId="Nummereringstegn">
    <w:name w:val="Nummereringstegn"/>
  </w:style>
  <w:style w:type="paragraph" w:customStyle="1" w:styleId="Overskrift">
    <w:name w:val="Overskrift"/>
    <w:basedOn w:val="Normal"/>
    <w:next w:val="BodyText"/>
    <w:pPr>
      <w:keepNext/>
      <w:spacing w:before="240" w:after="120"/>
    </w:pPr>
    <w:rPr>
      <w:rFonts w:ascii="DejaVu Sans" w:hAnsi="DejaVu Sans" w:cs="DejaVu Sans"/>
      <w:sz w:val="28"/>
      <w:szCs w:val="28"/>
    </w:rPr>
  </w:style>
  <w:style w:type="paragraph" w:styleId="BodyText">
    <w:name w:val="Body Text"/>
    <w:basedOn w:val="Normal"/>
    <w:semiHidden/>
    <w:pPr>
      <w:jc w:val="center"/>
    </w:pPr>
    <w:rPr>
      <w:rFonts w:ascii="Arial" w:hAnsi="Arial"/>
      <w:lang w:val="en-GB"/>
    </w:rPr>
  </w:style>
  <w:style w:type="paragraph" w:styleId="List">
    <w:name w:val="List"/>
    <w:basedOn w:val="BodyText"/>
    <w:semiHidden/>
  </w:style>
  <w:style w:type="paragraph" w:customStyle="1" w:styleId="Billedtekst">
    <w:name w:val="Billedtekst"/>
    <w:basedOn w:val="Normal"/>
    <w:pPr>
      <w:suppressLineNumbers/>
      <w:spacing w:before="120" w:after="120"/>
    </w:pPr>
    <w:rPr>
      <w:i/>
      <w:iCs/>
      <w:sz w:val="24"/>
      <w:szCs w:val="24"/>
    </w:rPr>
  </w:style>
  <w:style w:type="paragraph" w:customStyle="1" w:styleId="Indeks">
    <w:name w:val="Indeks"/>
    <w:basedOn w:val="Normal"/>
    <w:pPr>
      <w:suppressLineNumbers/>
    </w:pPr>
  </w:style>
  <w:style w:type="paragraph" w:customStyle="1" w:styleId="1stNavigation">
    <w:name w:val="1st Navigation"/>
    <w:basedOn w:val="Heading1"/>
    <w:pPr>
      <w:numPr>
        <w:numId w:val="0"/>
      </w:numPr>
      <w:spacing w:after="200"/>
    </w:pPr>
    <w:rPr>
      <w:sz w:val="44"/>
    </w:rPr>
  </w:style>
  <w:style w:type="paragraph" w:customStyle="1" w:styleId="2ndNavigation">
    <w:name w:val="2nd Navigation"/>
    <w:basedOn w:val="Normal"/>
    <w:pPr>
      <w:spacing w:before="60" w:after="60"/>
      <w:ind w:left="-42"/>
    </w:pPr>
    <w:rPr>
      <w:rFonts w:ascii="Arial" w:hAnsi="Arial"/>
      <w:b/>
      <w:color w:val="000080"/>
      <w:sz w:val="28"/>
      <w:lang w:val="en-GB"/>
    </w:rPr>
  </w:style>
  <w:style w:type="paragraph" w:styleId="BodyText2">
    <w:name w:val="Body Text 2"/>
    <w:basedOn w:val="Normal"/>
    <w:semiHidden/>
    <w:pPr>
      <w:jc w:val="both"/>
    </w:pPr>
    <w:rPr>
      <w:rFonts w:ascii="Arial" w:hAnsi="Arial"/>
      <w:sz w:val="24"/>
      <w:lang w:val="en-GB"/>
    </w:rPr>
  </w:style>
  <w:style w:type="paragraph" w:styleId="Header">
    <w:name w:val="header"/>
    <w:basedOn w:val="Normal"/>
    <w:semiHidden/>
    <w:pPr>
      <w:tabs>
        <w:tab w:val="center" w:pos="4153"/>
        <w:tab w:val="right" w:pos="8306"/>
      </w:tabs>
    </w:pPr>
    <w:rPr>
      <w:rFonts w:ascii="Arial" w:hAnsi="Arial"/>
      <w:sz w:val="24"/>
      <w:lang w:val="en-GB"/>
    </w:rPr>
  </w:style>
  <w:style w:type="paragraph" w:styleId="BodyTextIndent">
    <w:name w:val="Body Text Indent"/>
    <w:basedOn w:val="Normal"/>
    <w:semiHidden/>
    <w:pPr>
      <w:jc w:val="center"/>
    </w:pPr>
    <w:rPr>
      <w:rFonts w:ascii="Arial" w:hAnsi="Arial"/>
      <w:b/>
      <w:sz w:val="21"/>
      <w:lang w:val="en-GB"/>
    </w:rPr>
  </w:style>
  <w:style w:type="paragraph" w:styleId="Footer">
    <w:name w:val="footer"/>
    <w:basedOn w:val="Normal"/>
    <w:semiHidden/>
    <w:pPr>
      <w:tabs>
        <w:tab w:val="center" w:pos="4153"/>
        <w:tab w:val="right" w:pos="8306"/>
      </w:tabs>
    </w:pPr>
    <w:rPr>
      <w:rFonts w:ascii="Arial" w:hAnsi="Arial"/>
      <w:sz w:val="24"/>
      <w:lang w:val="en-GB"/>
    </w:rPr>
  </w:style>
  <w:style w:type="paragraph" w:customStyle="1" w:styleId="Tabelindhold">
    <w:name w:val="Tabelindhold"/>
    <w:basedOn w:val="Normal"/>
    <w:pPr>
      <w:suppressLineNumbers/>
    </w:pPr>
  </w:style>
  <w:style w:type="paragraph" w:customStyle="1" w:styleId="Tabeloverskrift">
    <w:name w:val="Tabeloverskrift"/>
    <w:basedOn w:val="Tabelindhold"/>
    <w:pPr>
      <w:jc w:val="center"/>
    </w:pPr>
    <w:rPr>
      <w:b/>
      <w:bCs/>
    </w:rPr>
  </w:style>
  <w:style w:type="paragraph" w:styleId="FootnoteText">
    <w:name w:val="footnote text"/>
    <w:aliases w:val="Char1"/>
    <w:basedOn w:val="Normal"/>
    <w:link w:val="FootnoteTextChar"/>
    <w:pPr>
      <w:suppressLineNumbers/>
      <w:ind w:left="283" w:hanging="283"/>
    </w:pPr>
  </w:style>
  <w:style w:type="paragraph" w:customStyle="1" w:styleId="Liststycke">
    <w:name w:val="Liststycke"/>
    <w:basedOn w:val="Normal"/>
    <w:pPr>
      <w:suppressAutoHyphens w:val="0"/>
      <w:spacing w:after="200" w:line="276" w:lineRule="auto"/>
      <w:ind w:left="720"/>
      <w:contextualSpacing/>
    </w:pPr>
    <w:rPr>
      <w:rFonts w:ascii="Calibri" w:hAnsi="Calibri"/>
      <w:sz w:val="22"/>
      <w:szCs w:val="22"/>
      <w:lang w:val="sv-SE"/>
    </w:rPr>
  </w:style>
  <w:style w:type="character" w:customStyle="1" w:styleId="Girts">
    <w:name w:val="Girts"/>
    <w:semiHidden/>
    <w:rPr>
      <w:rFonts w:ascii="Arial" w:hAnsi="Arial"/>
      <w:color w:val="auto"/>
      <w:sz w:val="20"/>
    </w:rPr>
  </w:style>
  <w:style w:type="paragraph" w:styleId="BalloonText">
    <w:name w:val="Balloon Text"/>
    <w:basedOn w:val="Normal"/>
    <w:semiHidden/>
    <w:rPr>
      <w:rFonts w:ascii="Tahoma" w:hAnsi="Tahoma" w:cs="Tahoma"/>
      <w:sz w:val="16"/>
      <w:szCs w:val="16"/>
    </w:rPr>
  </w:style>
  <w:style w:type="character" w:customStyle="1" w:styleId="longtext">
    <w:name w:val="long_text"/>
    <w:rPr>
      <w:rFonts w:cs="Times New Roman"/>
    </w:rPr>
  </w:style>
  <w:style w:type="character" w:customStyle="1" w:styleId="mediumtext">
    <w:name w:val="medium_text"/>
    <w:rPr>
      <w:rFonts w:cs="Times New Roman"/>
    </w:rPr>
  </w:style>
  <w:style w:type="character" w:styleId="CommentReference">
    <w:name w:val="annotation reference"/>
    <w:semiHidden/>
    <w:rPr>
      <w:sz w:val="18"/>
    </w:rPr>
  </w:style>
  <w:style w:type="paragraph" w:styleId="CommentText">
    <w:name w:val="annotation text"/>
    <w:basedOn w:val="Normal"/>
    <w:semiHidden/>
    <w:rPr>
      <w:sz w:val="24"/>
      <w:szCs w:val="24"/>
    </w:rPr>
  </w:style>
  <w:style w:type="character" w:customStyle="1" w:styleId="CharChar2">
    <w:name w:val="Char Char2"/>
    <w:semiHidden/>
    <w:locked/>
    <w:rPr>
      <w:sz w:val="24"/>
      <w:lang/>
    </w:rPr>
  </w:style>
  <w:style w:type="paragraph" w:styleId="CommentSubject">
    <w:name w:val="annotation subject"/>
    <w:basedOn w:val="CommentText"/>
    <w:next w:val="CommentText"/>
    <w:semiHidden/>
    <w:rPr>
      <w:b/>
      <w:bCs/>
      <w:sz w:val="20"/>
      <w:szCs w:val="20"/>
    </w:rPr>
  </w:style>
  <w:style w:type="character" w:customStyle="1" w:styleId="CharChar1">
    <w:name w:val="Char Char1"/>
    <w:semiHidden/>
    <w:locked/>
    <w:rPr>
      <w:b/>
      <w:sz w:val="24"/>
      <w:lang/>
    </w:rPr>
  </w:style>
  <w:style w:type="paragraph" w:styleId="Caption">
    <w:name w:val="caption"/>
    <w:basedOn w:val="Normal"/>
    <w:next w:val="Normal"/>
    <w:qFormat/>
    <w:rPr>
      <w:b/>
      <w:bCs/>
    </w:rPr>
  </w:style>
  <w:style w:type="paragraph" w:styleId="PlainText">
    <w:name w:val="Plain Text"/>
    <w:basedOn w:val="Normal"/>
    <w:semiHidden/>
    <w:pPr>
      <w:suppressAutoHyphens w:val="0"/>
    </w:pPr>
    <w:rPr>
      <w:rFonts w:ascii="Consolas" w:hAnsi="Consolas"/>
      <w:sz w:val="21"/>
      <w:szCs w:val="21"/>
      <w:lang w:val="en-GB"/>
    </w:rPr>
  </w:style>
  <w:style w:type="character" w:customStyle="1" w:styleId="CharChar">
    <w:name w:val="Char Char"/>
    <w:semiHidden/>
    <w:locked/>
    <w:rPr>
      <w:rFonts w:ascii="Consolas" w:hAnsi="Consolas"/>
      <w:sz w:val="21"/>
      <w:lang/>
    </w:rPr>
  </w:style>
  <w:style w:type="paragraph" w:customStyle="1" w:styleId="MediumGrid1-Accent21">
    <w:name w:val="Medium Grid 1 - Accent 21"/>
    <w:basedOn w:val="Normal"/>
    <w:qFormat/>
    <w:pPr>
      <w:suppressAutoHyphens w:val="0"/>
      <w:spacing w:after="200" w:line="276" w:lineRule="auto"/>
      <w:ind w:left="720"/>
      <w:contextualSpacing/>
    </w:pPr>
    <w:rPr>
      <w:rFonts w:ascii="Calibri" w:hAnsi="Calibri"/>
      <w:sz w:val="22"/>
      <w:szCs w:val="22"/>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hps">
    <w:name w:val="hps"/>
    <w:basedOn w:val="DefaultParagraphFont"/>
    <w:rsid w:val="00A76FD1"/>
  </w:style>
  <w:style w:type="character" w:customStyle="1" w:styleId="atn">
    <w:name w:val="atn"/>
    <w:basedOn w:val="DefaultParagraphFont"/>
    <w:rsid w:val="008D4C24"/>
  </w:style>
  <w:style w:type="paragraph" w:customStyle="1" w:styleId="ColorfulList-Accent11">
    <w:name w:val="Colorful List - Accent 11"/>
    <w:basedOn w:val="Normal"/>
    <w:uiPriority w:val="34"/>
    <w:qFormat/>
    <w:rsid w:val="006645EE"/>
    <w:pPr>
      <w:suppressAutoHyphens w:val="0"/>
      <w:spacing w:after="200" w:line="276" w:lineRule="auto"/>
      <w:ind w:left="720"/>
      <w:contextualSpacing/>
    </w:pPr>
    <w:rPr>
      <w:rFonts w:ascii="Calibri" w:eastAsia="Calibri" w:hAnsi="Calibri"/>
      <w:snapToGrid/>
      <w:sz w:val="22"/>
      <w:szCs w:val="22"/>
      <w:lang w:val="lv-LV" w:eastAsia="en-US"/>
    </w:rPr>
  </w:style>
  <w:style w:type="paragraph" w:styleId="ListParagraph">
    <w:name w:val="List Paragraph"/>
    <w:basedOn w:val="Normal"/>
    <w:uiPriority w:val="34"/>
    <w:qFormat/>
    <w:rsid w:val="00DF2F3E"/>
    <w:pPr>
      <w:suppressAutoHyphens w:val="0"/>
      <w:spacing w:after="200" w:line="276" w:lineRule="auto"/>
      <w:ind w:left="720"/>
      <w:contextualSpacing/>
    </w:pPr>
    <w:rPr>
      <w:rFonts w:ascii="Calibri" w:eastAsia="Calibri" w:hAnsi="Calibri" w:cs="Calibri"/>
      <w:snapToGrid/>
      <w:sz w:val="22"/>
      <w:szCs w:val="22"/>
      <w:lang w:val="lv-LV"/>
    </w:rPr>
  </w:style>
  <w:style w:type="character" w:customStyle="1" w:styleId="st">
    <w:name w:val="st"/>
    <w:rsid w:val="00DF2F3E"/>
  </w:style>
  <w:style w:type="character" w:styleId="Emphasis">
    <w:name w:val="Emphasis"/>
    <w:uiPriority w:val="20"/>
    <w:qFormat/>
    <w:rsid w:val="00DF2F3E"/>
    <w:rPr>
      <w:i/>
      <w:iCs/>
    </w:rPr>
  </w:style>
  <w:style w:type="character" w:styleId="Strong">
    <w:name w:val="Strong"/>
    <w:uiPriority w:val="22"/>
    <w:qFormat/>
    <w:rsid w:val="00BA7227"/>
    <w:rPr>
      <w:b/>
      <w:bCs/>
    </w:rPr>
  </w:style>
  <w:style w:type="character" w:customStyle="1" w:styleId="FootnoteTextChar">
    <w:name w:val="Footnote Text Char"/>
    <w:aliases w:val="Char1 Char"/>
    <w:link w:val="FootnoteText"/>
    <w:rsid w:val="007C7707"/>
    <w:rPr>
      <w:snapToGrid w:val="0"/>
      <w:lang w:val="en-US"/>
    </w:rPr>
  </w:style>
  <w:style w:type="paragraph" w:styleId="NormalWeb">
    <w:name w:val="Normal (Web)"/>
    <w:basedOn w:val="Normal"/>
    <w:uiPriority w:val="99"/>
    <w:unhideWhenUsed/>
    <w:rsid w:val="007C7707"/>
    <w:pPr>
      <w:suppressAutoHyphens w:val="0"/>
      <w:spacing w:before="100" w:beforeAutospacing="1" w:after="100" w:afterAutospacing="1"/>
    </w:pPr>
    <w:rPr>
      <w:snapToGrid/>
      <w:sz w:val="24"/>
      <w:szCs w:val="24"/>
      <w:lang w:val="lv-LV"/>
    </w:rPr>
  </w:style>
  <w:style w:type="paragraph" w:styleId="NoSpacing">
    <w:name w:val="No Spacing"/>
    <w:uiPriority w:val="1"/>
    <w:qFormat/>
    <w:rsid w:val="007C7707"/>
    <w:pPr>
      <w:suppressAutoHyphens/>
    </w:pPr>
    <w:rPr>
      <w:lang w:eastAsia="ar-SA"/>
    </w:rPr>
  </w:style>
  <w:style w:type="character" w:customStyle="1" w:styleId="searchresultstext">
    <w:name w:val="searchresultstext"/>
    <w:rsid w:val="007241A9"/>
  </w:style>
  <w:style w:type="paragraph" w:customStyle="1" w:styleId="apakvirsraksts">
    <w:name w:val="apakšvirsraksts"/>
    <w:basedOn w:val="Normal"/>
    <w:rsid w:val="00DD371E"/>
    <w:pPr>
      <w:numPr>
        <w:ilvl w:val="1"/>
        <w:numId w:val="5"/>
      </w:numPr>
      <w:suppressAutoHyphens w:val="0"/>
      <w:jc w:val="both"/>
    </w:pPr>
    <w:rPr>
      <w:b/>
      <w:snapToGrid/>
      <w:sz w:val="24"/>
      <w:szCs w:val="24"/>
      <w:lang w:val="lv-LV"/>
    </w:rPr>
  </w:style>
  <w:style w:type="paragraph" w:customStyle="1" w:styleId="daasvirsraksts">
    <w:name w:val="daļas virsraksts"/>
    <w:basedOn w:val="Normal"/>
    <w:rsid w:val="00DD371E"/>
    <w:pPr>
      <w:numPr>
        <w:ilvl w:val="2"/>
        <w:numId w:val="5"/>
      </w:numPr>
      <w:suppressAutoHyphens w:val="0"/>
      <w:jc w:val="both"/>
    </w:pPr>
    <w:rPr>
      <w:snapToGrid/>
      <w:sz w:val="24"/>
      <w:szCs w:val="24"/>
      <w:lang w:val="lv-LV"/>
    </w:rPr>
  </w:style>
  <w:style w:type="paragraph" w:customStyle="1" w:styleId="apaknodaasvirsraksts">
    <w:name w:val="apakšnodaļas virsraksts"/>
    <w:basedOn w:val="daasvirsraksts"/>
    <w:qFormat/>
    <w:rsid w:val="00DD371E"/>
    <w:pPr>
      <w:numPr>
        <w:ilvl w:val="3"/>
      </w:numPr>
      <w:outlineLvl w:val="2"/>
    </w:pPr>
    <w:rPr>
      <w:rFonts w:ascii="Verdana" w:hAnsi="Verdana"/>
      <w:sz w:val="20"/>
      <w:szCs w:val="20"/>
    </w:rPr>
  </w:style>
  <w:style w:type="paragraph" w:customStyle="1" w:styleId="SLONormal">
    <w:name w:val="SLO Normal"/>
    <w:rsid w:val="00DD371E"/>
    <w:pPr>
      <w:overflowPunct w:val="0"/>
      <w:autoSpaceDE w:val="0"/>
      <w:autoSpaceDN w:val="0"/>
      <w:adjustRightInd w:val="0"/>
      <w:spacing w:before="120" w:after="120"/>
      <w:jc w:val="both"/>
      <w:textAlignment w:val="baseline"/>
    </w:pPr>
    <w:rPr>
      <w:noProof/>
      <w:sz w:val="24"/>
      <w:szCs w:val="24"/>
      <w:lang w:val="en-GB"/>
    </w:rPr>
  </w:style>
  <w:style w:type="character" w:styleId="HTMLCite">
    <w:name w:val="HTML Cite"/>
    <w:uiPriority w:val="99"/>
    <w:unhideWhenUsed/>
    <w:rsid w:val="00DD371E"/>
    <w:rPr>
      <w:i/>
      <w:iCs/>
    </w:rPr>
  </w:style>
  <w:style w:type="character" w:customStyle="1" w:styleId="apple-converted-space">
    <w:name w:val="apple-converted-space"/>
    <w:rsid w:val="00FD7751"/>
  </w:style>
  <w:style w:type="paragraph" w:customStyle="1" w:styleId="tv213">
    <w:name w:val="tv213"/>
    <w:basedOn w:val="Normal"/>
    <w:rsid w:val="00F66099"/>
    <w:pPr>
      <w:suppressAutoHyphens w:val="0"/>
      <w:spacing w:before="100" w:beforeAutospacing="1" w:after="100" w:afterAutospacing="1"/>
    </w:pPr>
    <w:rPr>
      <w:snapToGrid/>
      <w:sz w:val="24"/>
      <w:szCs w:val="24"/>
      <w:lang w:val="lv-LV"/>
    </w:rPr>
  </w:style>
  <w:style w:type="character" w:customStyle="1" w:styleId="article-time">
    <w:name w:val="article-time"/>
    <w:rsid w:val="00F66099"/>
  </w:style>
  <w:style w:type="character" w:styleId="FollowedHyperlink">
    <w:name w:val="FollowedHyperlink"/>
    <w:rsid w:val="00B87DD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pPr>
      <w:suppressAutoHyphens/>
    </w:pPr>
    <w:rPr>
      <w:snapToGrid w:val="0"/>
      <w:lang w:eastAsia="lv-LV"/>
    </w:rPr>
  </w:style>
  <w:style w:type="paragraph" w:styleId="Heading1">
    <w:name w:val="heading 1"/>
    <w:basedOn w:val="Normal"/>
    <w:next w:val="Normal"/>
    <w:qFormat/>
    <w:pPr>
      <w:keepNext/>
      <w:numPr>
        <w:numId w:val="1"/>
      </w:numPr>
      <w:outlineLvl w:val="0"/>
    </w:pPr>
    <w:rPr>
      <w:rFonts w:ascii="Arial" w:hAnsi="Arial"/>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3z0">
    <w:name w:val="WW8Num3z0"/>
    <w:rPr>
      <w:rFonts w:ascii="Wingdings" w:hAnsi="Wingdings"/>
      <w:sz w:val="16"/>
    </w:rPr>
  </w:style>
  <w:style w:type="character" w:customStyle="1" w:styleId="WW8Num6z0">
    <w:name w:val="WW8Num6z0"/>
    <w:rPr>
      <w:rFonts w:ascii="Symbol" w:hAnsi="Symbol"/>
    </w:rPr>
  </w:style>
  <w:style w:type="character" w:customStyle="1" w:styleId="WW8Num7z0">
    <w:name w:val="WW8Num7z0"/>
    <w:rPr>
      <w:rFonts w:ascii="Symbol" w:hAnsi="Symbol"/>
      <w:color w:val="000000"/>
    </w:rPr>
  </w:style>
  <w:style w:type="character" w:customStyle="1" w:styleId="WW8Num8z0">
    <w:name w:val="WW8Num8z0"/>
    <w:rPr>
      <w:rFonts w:ascii="Arial Unicode MS" w:hAnsi="Arial Unicode MS"/>
    </w:rPr>
  </w:style>
  <w:style w:type="character" w:customStyle="1" w:styleId="WW8Num9z0">
    <w:name w:val="WW8Num9z0"/>
    <w:rPr>
      <w:rFonts w:ascii="Arial Unicode MS" w:hAnsi="Arial Unicode MS"/>
    </w:rPr>
  </w:style>
  <w:style w:type="character" w:customStyle="1" w:styleId="WW8Num10z0">
    <w:name w:val="WW8Num10z0"/>
    <w:rPr>
      <w:rFonts w:ascii="Arial Unicode MS" w:hAnsi="Arial Unicode MS"/>
    </w:rPr>
  </w:style>
  <w:style w:type="character" w:customStyle="1" w:styleId="WW8Num11z0">
    <w:name w:val="WW8Num11z0"/>
    <w:rPr>
      <w:rFonts w:ascii="Symbol" w:hAnsi="Symbol"/>
    </w:rPr>
  </w:style>
  <w:style w:type="character" w:customStyle="1" w:styleId="WW8Num13z0">
    <w:name w:val="WW8Num13z0"/>
    <w:rPr>
      <w:rFonts w:ascii="Arial Unicode MS" w:hAnsi="Arial Unicode MS"/>
    </w:rPr>
  </w:style>
  <w:style w:type="character" w:customStyle="1" w:styleId="WW8Num14z0">
    <w:name w:val="WW8Num14z0"/>
    <w:rPr>
      <w:rFonts w:ascii="Symbol" w:hAnsi="Symbol"/>
    </w:rPr>
  </w:style>
  <w:style w:type="character" w:customStyle="1" w:styleId="WW8Num16z0">
    <w:name w:val="WW8Num16z0"/>
    <w:rPr>
      <w:rFonts w:ascii="Arial Unicode MS" w:hAnsi="Arial Unicode MS"/>
    </w:rPr>
  </w:style>
  <w:style w:type="character" w:customStyle="1" w:styleId="WW8Num17z0">
    <w:name w:val="WW8Num17z0"/>
    <w:rPr>
      <w:rFonts w:ascii="Symbol" w:hAnsi="Symbol"/>
    </w:rPr>
  </w:style>
  <w:style w:type="character" w:customStyle="1" w:styleId="WW8Num18z0">
    <w:name w:val="WW8Num18z0"/>
    <w:rPr>
      <w:rFonts w:ascii="Arial Unicode MS" w:hAnsi="Arial Unicode MS"/>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4z0">
    <w:name w:val="WW8Num24z0"/>
    <w:rPr>
      <w:rFonts w:ascii="Symbol" w:hAnsi="Symbol"/>
    </w:rPr>
  </w:style>
  <w:style w:type="character" w:customStyle="1" w:styleId="WW8NumSt7z0">
    <w:name w:val="WW8NumSt7z0"/>
    <w:rPr>
      <w:rFonts w:ascii="Wingdings" w:hAnsi="Wingdings"/>
      <w:sz w:val="16"/>
    </w:rPr>
  </w:style>
  <w:style w:type="character" w:customStyle="1" w:styleId="WW8NumSt18z0">
    <w:name w:val="WW8NumSt18z0"/>
    <w:rPr>
      <w:rFonts w:ascii="Wingdings" w:hAnsi="Wingdings"/>
      <w:color w:val="000000"/>
      <w:sz w:val="16"/>
    </w:rPr>
  </w:style>
  <w:style w:type="character" w:customStyle="1" w:styleId="WW8NumSt19z0">
    <w:name w:val="WW8NumSt19z0"/>
    <w:rPr>
      <w:rFonts w:ascii="Symbol" w:hAnsi="Symbol"/>
    </w:rPr>
  </w:style>
  <w:style w:type="character" w:styleId="Hyperlink">
    <w:name w:val="Hyperlink"/>
    <w:uiPriority w:val="99"/>
    <w:rPr>
      <w:color w:val="0000FF"/>
      <w:u w:val="single"/>
    </w:rPr>
  </w:style>
  <w:style w:type="character" w:customStyle="1" w:styleId="guidelines">
    <w:name w:val="guidelines"/>
    <w:rPr>
      <w:rFonts w:ascii="Arial" w:hAnsi="Arial"/>
      <w:i/>
      <w:color w:val="FF0000"/>
      <w:sz w:val="20"/>
    </w:rPr>
  </w:style>
  <w:style w:type="character" w:customStyle="1" w:styleId="texthere">
    <w:name w:val="texthere"/>
    <w:rPr>
      <w:rFonts w:ascii="Arial" w:hAnsi="Arial"/>
      <w:color w:val="000000"/>
      <w:sz w:val="18"/>
    </w:rPr>
  </w:style>
  <w:style w:type="character" w:styleId="PageNumber">
    <w:name w:val="page number"/>
    <w:semiHidden/>
    <w:rPr>
      <w:rFonts w:cs="Times New Roman"/>
    </w:rPr>
  </w:style>
  <w:style w:type="character" w:customStyle="1" w:styleId="GirtsFICIL">
    <w:name w:val="Girts FICIL"/>
    <w:rPr>
      <w:rFonts w:ascii="Arial" w:hAnsi="Arial"/>
      <w:color w:val="auto"/>
      <w:sz w:val="20"/>
    </w:rPr>
  </w:style>
  <w:style w:type="character" w:customStyle="1" w:styleId="Fodnotetegn">
    <w:name w:val="Fodnotetegn"/>
    <w:rPr>
      <w:vertAlign w:val="superscript"/>
    </w:rPr>
  </w:style>
  <w:style w:type="character" w:styleId="FootnoteReference">
    <w:name w:val="footnote reference"/>
    <w:uiPriority w:val="99"/>
    <w:rPr>
      <w:vertAlign w:val="superscript"/>
    </w:rPr>
  </w:style>
  <w:style w:type="character" w:customStyle="1" w:styleId="Nummereringstegn">
    <w:name w:val="Nummereringstegn"/>
  </w:style>
  <w:style w:type="paragraph" w:customStyle="1" w:styleId="Overskrift">
    <w:name w:val="Overskrift"/>
    <w:basedOn w:val="Normal"/>
    <w:next w:val="BodyText"/>
    <w:pPr>
      <w:keepNext/>
      <w:spacing w:before="240" w:after="120"/>
    </w:pPr>
    <w:rPr>
      <w:rFonts w:ascii="DejaVu Sans" w:hAnsi="DejaVu Sans" w:cs="DejaVu Sans"/>
      <w:sz w:val="28"/>
      <w:szCs w:val="28"/>
    </w:rPr>
  </w:style>
  <w:style w:type="paragraph" w:styleId="BodyText">
    <w:name w:val="Body Text"/>
    <w:basedOn w:val="Normal"/>
    <w:semiHidden/>
    <w:pPr>
      <w:jc w:val="center"/>
    </w:pPr>
    <w:rPr>
      <w:rFonts w:ascii="Arial" w:hAnsi="Arial"/>
      <w:lang w:val="en-GB"/>
    </w:rPr>
  </w:style>
  <w:style w:type="paragraph" w:styleId="List">
    <w:name w:val="List"/>
    <w:basedOn w:val="BodyText"/>
    <w:semiHidden/>
  </w:style>
  <w:style w:type="paragraph" w:customStyle="1" w:styleId="Billedtekst">
    <w:name w:val="Billedtekst"/>
    <w:basedOn w:val="Normal"/>
    <w:pPr>
      <w:suppressLineNumbers/>
      <w:spacing w:before="120" w:after="120"/>
    </w:pPr>
    <w:rPr>
      <w:i/>
      <w:iCs/>
      <w:sz w:val="24"/>
      <w:szCs w:val="24"/>
    </w:rPr>
  </w:style>
  <w:style w:type="paragraph" w:customStyle="1" w:styleId="Indeks">
    <w:name w:val="Indeks"/>
    <w:basedOn w:val="Normal"/>
    <w:pPr>
      <w:suppressLineNumbers/>
    </w:pPr>
  </w:style>
  <w:style w:type="paragraph" w:customStyle="1" w:styleId="1stNavigation">
    <w:name w:val="1st Navigation"/>
    <w:basedOn w:val="Heading1"/>
    <w:pPr>
      <w:numPr>
        <w:numId w:val="0"/>
      </w:numPr>
      <w:spacing w:after="200"/>
    </w:pPr>
    <w:rPr>
      <w:sz w:val="44"/>
    </w:rPr>
  </w:style>
  <w:style w:type="paragraph" w:customStyle="1" w:styleId="2ndNavigation">
    <w:name w:val="2nd Navigation"/>
    <w:basedOn w:val="Normal"/>
    <w:pPr>
      <w:spacing w:before="60" w:after="60"/>
      <w:ind w:left="-42"/>
    </w:pPr>
    <w:rPr>
      <w:rFonts w:ascii="Arial" w:hAnsi="Arial"/>
      <w:b/>
      <w:color w:val="000080"/>
      <w:sz w:val="28"/>
      <w:lang w:val="en-GB"/>
    </w:rPr>
  </w:style>
  <w:style w:type="paragraph" w:styleId="BodyText2">
    <w:name w:val="Body Text 2"/>
    <w:basedOn w:val="Normal"/>
    <w:semiHidden/>
    <w:pPr>
      <w:jc w:val="both"/>
    </w:pPr>
    <w:rPr>
      <w:rFonts w:ascii="Arial" w:hAnsi="Arial"/>
      <w:sz w:val="24"/>
      <w:lang w:val="en-GB"/>
    </w:rPr>
  </w:style>
  <w:style w:type="paragraph" w:styleId="Header">
    <w:name w:val="header"/>
    <w:basedOn w:val="Normal"/>
    <w:semiHidden/>
    <w:pPr>
      <w:tabs>
        <w:tab w:val="center" w:pos="4153"/>
        <w:tab w:val="right" w:pos="8306"/>
      </w:tabs>
    </w:pPr>
    <w:rPr>
      <w:rFonts w:ascii="Arial" w:hAnsi="Arial"/>
      <w:sz w:val="24"/>
      <w:lang w:val="en-GB"/>
    </w:rPr>
  </w:style>
  <w:style w:type="paragraph" w:styleId="BodyTextIndent">
    <w:name w:val="Body Text Indent"/>
    <w:basedOn w:val="Normal"/>
    <w:semiHidden/>
    <w:pPr>
      <w:jc w:val="center"/>
    </w:pPr>
    <w:rPr>
      <w:rFonts w:ascii="Arial" w:hAnsi="Arial"/>
      <w:b/>
      <w:sz w:val="21"/>
      <w:lang w:val="en-GB"/>
    </w:rPr>
  </w:style>
  <w:style w:type="paragraph" w:styleId="Footer">
    <w:name w:val="footer"/>
    <w:basedOn w:val="Normal"/>
    <w:semiHidden/>
    <w:pPr>
      <w:tabs>
        <w:tab w:val="center" w:pos="4153"/>
        <w:tab w:val="right" w:pos="8306"/>
      </w:tabs>
    </w:pPr>
    <w:rPr>
      <w:rFonts w:ascii="Arial" w:hAnsi="Arial"/>
      <w:sz w:val="24"/>
      <w:lang w:val="en-GB"/>
    </w:rPr>
  </w:style>
  <w:style w:type="paragraph" w:customStyle="1" w:styleId="Tabelindhold">
    <w:name w:val="Tabelindhold"/>
    <w:basedOn w:val="Normal"/>
    <w:pPr>
      <w:suppressLineNumbers/>
    </w:pPr>
  </w:style>
  <w:style w:type="paragraph" w:customStyle="1" w:styleId="Tabeloverskrift">
    <w:name w:val="Tabeloverskrift"/>
    <w:basedOn w:val="Tabelindhold"/>
    <w:pPr>
      <w:jc w:val="center"/>
    </w:pPr>
    <w:rPr>
      <w:b/>
      <w:bCs/>
    </w:rPr>
  </w:style>
  <w:style w:type="paragraph" w:styleId="FootnoteText">
    <w:name w:val="footnote text"/>
    <w:aliases w:val="Char1"/>
    <w:basedOn w:val="Normal"/>
    <w:link w:val="FootnoteTextChar"/>
    <w:pPr>
      <w:suppressLineNumbers/>
      <w:ind w:left="283" w:hanging="283"/>
    </w:pPr>
  </w:style>
  <w:style w:type="paragraph" w:customStyle="1" w:styleId="Liststycke">
    <w:name w:val="Liststycke"/>
    <w:basedOn w:val="Normal"/>
    <w:pPr>
      <w:suppressAutoHyphens w:val="0"/>
      <w:spacing w:after="200" w:line="276" w:lineRule="auto"/>
      <w:ind w:left="720"/>
      <w:contextualSpacing/>
    </w:pPr>
    <w:rPr>
      <w:rFonts w:ascii="Calibri" w:hAnsi="Calibri"/>
      <w:sz w:val="22"/>
      <w:szCs w:val="22"/>
      <w:lang w:val="sv-SE"/>
    </w:rPr>
  </w:style>
  <w:style w:type="character" w:customStyle="1" w:styleId="Girts">
    <w:name w:val="Girts"/>
    <w:semiHidden/>
    <w:rPr>
      <w:rFonts w:ascii="Arial" w:hAnsi="Arial"/>
      <w:color w:val="auto"/>
      <w:sz w:val="20"/>
    </w:rPr>
  </w:style>
  <w:style w:type="paragraph" w:styleId="BalloonText">
    <w:name w:val="Balloon Text"/>
    <w:basedOn w:val="Normal"/>
    <w:semiHidden/>
    <w:rPr>
      <w:rFonts w:ascii="Tahoma" w:hAnsi="Tahoma" w:cs="Tahoma"/>
      <w:sz w:val="16"/>
      <w:szCs w:val="16"/>
    </w:rPr>
  </w:style>
  <w:style w:type="character" w:customStyle="1" w:styleId="longtext">
    <w:name w:val="long_text"/>
    <w:rPr>
      <w:rFonts w:cs="Times New Roman"/>
    </w:rPr>
  </w:style>
  <w:style w:type="character" w:customStyle="1" w:styleId="mediumtext">
    <w:name w:val="medium_text"/>
    <w:rPr>
      <w:rFonts w:cs="Times New Roman"/>
    </w:rPr>
  </w:style>
  <w:style w:type="character" w:styleId="CommentReference">
    <w:name w:val="annotation reference"/>
    <w:semiHidden/>
    <w:rPr>
      <w:sz w:val="18"/>
    </w:rPr>
  </w:style>
  <w:style w:type="paragraph" w:styleId="CommentText">
    <w:name w:val="annotation text"/>
    <w:basedOn w:val="Normal"/>
    <w:semiHidden/>
    <w:rPr>
      <w:sz w:val="24"/>
      <w:szCs w:val="24"/>
    </w:rPr>
  </w:style>
  <w:style w:type="character" w:customStyle="1" w:styleId="CharChar2">
    <w:name w:val="Char Char2"/>
    <w:semiHidden/>
    <w:locked/>
    <w:rPr>
      <w:sz w:val="24"/>
      <w:lang/>
    </w:rPr>
  </w:style>
  <w:style w:type="paragraph" w:styleId="CommentSubject">
    <w:name w:val="annotation subject"/>
    <w:basedOn w:val="CommentText"/>
    <w:next w:val="CommentText"/>
    <w:semiHidden/>
    <w:rPr>
      <w:b/>
      <w:bCs/>
      <w:sz w:val="20"/>
      <w:szCs w:val="20"/>
    </w:rPr>
  </w:style>
  <w:style w:type="character" w:customStyle="1" w:styleId="CharChar1">
    <w:name w:val="Char Char1"/>
    <w:semiHidden/>
    <w:locked/>
    <w:rPr>
      <w:b/>
      <w:sz w:val="24"/>
      <w:lang/>
    </w:rPr>
  </w:style>
  <w:style w:type="paragraph" w:styleId="Caption">
    <w:name w:val="caption"/>
    <w:basedOn w:val="Normal"/>
    <w:next w:val="Normal"/>
    <w:qFormat/>
    <w:rPr>
      <w:b/>
      <w:bCs/>
    </w:rPr>
  </w:style>
  <w:style w:type="paragraph" w:styleId="PlainText">
    <w:name w:val="Plain Text"/>
    <w:basedOn w:val="Normal"/>
    <w:semiHidden/>
    <w:pPr>
      <w:suppressAutoHyphens w:val="0"/>
    </w:pPr>
    <w:rPr>
      <w:rFonts w:ascii="Consolas" w:hAnsi="Consolas"/>
      <w:sz w:val="21"/>
      <w:szCs w:val="21"/>
      <w:lang w:val="en-GB"/>
    </w:rPr>
  </w:style>
  <w:style w:type="character" w:customStyle="1" w:styleId="CharChar">
    <w:name w:val="Char Char"/>
    <w:semiHidden/>
    <w:locked/>
    <w:rPr>
      <w:rFonts w:ascii="Consolas" w:hAnsi="Consolas"/>
      <w:sz w:val="21"/>
      <w:lang/>
    </w:rPr>
  </w:style>
  <w:style w:type="paragraph" w:customStyle="1" w:styleId="MediumGrid1-Accent21">
    <w:name w:val="Medium Grid 1 - Accent 21"/>
    <w:basedOn w:val="Normal"/>
    <w:qFormat/>
    <w:pPr>
      <w:suppressAutoHyphens w:val="0"/>
      <w:spacing w:after="200" w:line="276" w:lineRule="auto"/>
      <w:ind w:left="720"/>
      <w:contextualSpacing/>
    </w:pPr>
    <w:rPr>
      <w:rFonts w:ascii="Calibri" w:hAnsi="Calibri"/>
      <w:sz w:val="22"/>
      <w:szCs w:val="22"/>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hps">
    <w:name w:val="hps"/>
    <w:basedOn w:val="DefaultParagraphFont"/>
    <w:rsid w:val="00A76FD1"/>
  </w:style>
  <w:style w:type="character" w:customStyle="1" w:styleId="atn">
    <w:name w:val="atn"/>
    <w:basedOn w:val="DefaultParagraphFont"/>
    <w:rsid w:val="008D4C24"/>
  </w:style>
  <w:style w:type="paragraph" w:customStyle="1" w:styleId="ColorfulList-Accent11">
    <w:name w:val="Colorful List - Accent 11"/>
    <w:basedOn w:val="Normal"/>
    <w:uiPriority w:val="34"/>
    <w:qFormat/>
    <w:rsid w:val="006645EE"/>
    <w:pPr>
      <w:suppressAutoHyphens w:val="0"/>
      <w:spacing w:after="200" w:line="276" w:lineRule="auto"/>
      <w:ind w:left="720"/>
      <w:contextualSpacing/>
    </w:pPr>
    <w:rPr>
      <w:rFonts w:ascii="Calibri" w:eastAsia="Calibri" w:hAnsi="Calibri"/>
      <w:snapToGrid/>
      <w:sz w:val="22"/>
      <w:szCs w:val="22"/>
      <w:lang w:val="lv-LV" w:eastAsia="en-US"/>
    </w:rPr>
  </w:style>
  <w:style w:type="paragraph" w:styleId="ListParagraph">
    <w:name w:val="List Paragraph"/>
    <w:basedOn w:val="Normal"/>
    <w:uiPriority w:val="34"/>
    <w:qFormat/>
    <w:rsid w:val="00DF2F3E"/>
    <w:pPr>
      <w:suppressAutoHyphens w:val="0"/>
      <w:spacing w:after="200" w:line="276" w:lineRule="auto"/>
      <w:ind w:left="720"/>
      <w:contextualSpacing/>
    </w:pPr>
    <w:rPr>
      <w:rFonts w:ascii="Calibri" w:eastAsia="Calibri" w:hAnsi="Calibri" w:cs="Calibri"/>
      <w:snapToGrid/>
      <w:sz w:val="22"/>
      <w:szCs w:val="22"/>
      <w:lang w:val="lv-LV"/>
    </w:rPr>
  </w:style>
  <w:style w:type="character" w:customStyle="1" w:styleId="st">
    <w:name w:val="st"/>
    <w:rsid w:val="00DF2F3E"/>
  </w:style>
  <w:style w:type="character" w:styleId="Emphasis">
    <w:name w:val="Emphasis"/>
    <w:uiPriority w:val="20"/>
    <w:qFormat/>
    <w:rsid w:val="00DF2F3E"/>
    <w:rPr>
      <w:i/>
      <w:iCs/>
    </w:rPr>
  </w:style>
  <w:style w:type="character" w:styleId="Strong">
    <w:name w:val="Strong"/>
    <w:uiPriority w:val="22"/>
    <w:qFormat/>
    <w:rsid w:val="00BA7227"/>
    <w:rPr>
      <w:b/>
      <w:bCs/>
    </w:rPr>
  </w:style>
  <w:style w:type="character" w:customStyle="1" w:styleId="FootnoteTextChar">
    <w:name w:val="Footnote Text Char"/>
    <w:aliases w:val="Char1 Char"/>
    <w:link w:val="FootnoteText"/>
    <w:rsid w:val="007C7707"/>
    <w:rPr>
      <w:snapToGrid w:val="0"/>
      <w:lang w:val="en-US"/>
    </w:rPr>
  </w:style>
  <w:style w:type="paragraph" w:styleId="NormalWeb">
    <w:name w:val="Normal (Web)"/>
    <w:basedOn w:val="Normal"/>
    <w:uiPriority w:val="99"/>
    <w:unhideWhenUsed/>
    <w:rsid w:val="007C7707"/>
    <w:pPr>
      <w:suppressAutoHyphens w:val="0"/>
      <w:spacing w:before="100" w:beforeAutospacing="1" w:after="100" w:afterAutospacing="1"/>
    </w:pPr>
    <w:rPr>
      <w:snapToGrid/>
      <w:sz w:val="24"/>
      <w:szCs w:val="24"/>
      <w:lang w:val="lv-LV"/>
    </w:rPr>
  </w:style>
  <w:style w:type="paragraph" w:styleId="NoSpacing">
    <w:name w:val="No Spacing"/>
    <w:uiPriority w:val="1"/>
    <w:qFormat/>
    <w:rsid w:val="007C7707"/>
    <w:pPr>
      <w:suppressAutoHyphens/>
    </w:pPr>
    <w:rPr>
      <w:lang w:eastAsia="ar-SA"/>
    </w:rPr>
  </w:style>
  <w:style w:type="character" w:customStyle="1" w:styleId="searchresultstext">
    <w:name w:val="searchresultstext"/>
    <w:rsid w:val="007241A9"/>
  </w:style>
  <w:style w:type="paragraph" w:customStyle="1" w:styleId="apakvirsraksts">
    <w:name w:val="apakšvirsraksts"/>
    <w:basedOn w:val="Normal"/>
    <w:rsid w:val="00DD371E"/>
    <w:pPr>
      <w:numPr>
        <w:ilvl w:val="1"/>
        <w:numId w:val="5"/>
      </w:numPr>
      <w:suppressAutoHyphens w:val="0"/>
      <w:jc w:val="both"/>
    </w:pPr>
    <w:rPr>
      <w:b/>
      <w:snapToGrid/>
      <w:sz w:val="24"/>
      <w:szCs w:val="24"/>
      <w:lang w:val="lv-LV"/>
    </w:rPr>
  </w:style>
  <w:style w:type="paragraph" w:customStyle="1" w:styleId="daasvirsraksts">
    <w:name w:val="daļas virsraksts"/>
    <w:basedOn w:val="Normal"/>
    <w:rsid w:val="00DD371E"/>
    <w:pPr>
      <w:numPr>
        <w:ilvl w:val="2"/>
        <w:numId w:val="5"/>
      </w:numPr>
      <w:suppressAutoHyphens w:val="0"/>
      <w:jc w:val="both"/>
    </w:pPr>
    <w:rPr>
      <w:snapToGrid/>
      <w:sz w:val="24"/>
      <w:szCs w:val="24"/>
      <w:lang w:val="lv-LV"/>
    </w:rPr>
  </w:style>
  <w:style w:type="paragraph" w:customStyle="1" w:styleId="apaknodaasvirsraksts">
    <w:name w:val="apakšnodaļas virsraksts"/>
    <w:basedOn w:val="daasvirsraksts"/>
    <w:qFormat/>
    <w:rsid w:val="00DD371E"/>
    <w:pPr>
      <w:numPr>
        <w:ilvl w:val="3"/>
      </w:numPr>
      <w:outlineLvl w:val="2"/>
    </w:pPr>
    <w:rPr>
      <w:rFonts w:ascii="Verdana" w:hAnsi="Verdana"/>
      <w:sz w:val="20"/>
      <w:szCs w:val="20"/>
    </w:rPr>
  </w:style>
  <w:style w:type="paragraph" w:customStyle="1" w:styleId="SLONormal">
    <w:name w:val="SLO Normal"/>
    <w:rsid w:val="00DD371E"/>
    <w:pPr>
      <w:overflowPunct w:val="0"/>
      <w:autoSpaceDE w:val="0"/>
      <w:autoSpaceDN w:val="0"/>
      <w:adjustRightInd w:val="0"/>
      <w:spacing w:before="120" w:after="120"/>
      <w:jc w:val="both"/>
      <w:textAlignment w:val="baseline"/>
    </w:pPr>
    <w:rPr>
      <w:noProof/>
      <w:sz w:val="24"/>
      <w:szCs w:val="24"/>
      <w:lang w:val="en-GB"/>
    </w:rPr>
  </w:style>
  <w:style w:type="character" w:styleId="HTMLCite">
    <w:name w:val="HTML Cite"/>
    <w:uiPriority w:val="99"/>
    <w:unhideWhenUsed/>
    <w:rsid w:val="00DD371E"/>
    <w:rPr>
      <w:i/>
      <w:iCs/>
    </w:rPr>
  </w:style>
  <w:style w:type="character" w:customStyle="1" w:styleId="apple-converted-space">
    <w:name w:val="apple-converted-space"/>
    <w:rsid w:val="00FD7751"/>
  </w:style>
  <w:style w:type="paragraph" w:customStyle="1" w:styleId="tv213">
    <w:name w:val="tv213"/>
    <w:basedOn w:val="Normal"/>
    <w:rsid w:val="00F66099"/>
    <w:pPr>
      <w:suppressAutoHyphens w:val="0"/>
      <w:spacing w:before="100" w:beforeAutospacing="1" w:after="100" w:afterAutospacing="1"/>
    </w:pPr>
    <w:rPr>
      <w:snapToGrid/>
      <w:sz w:val="24"/>
      <w:szCs w:val="24"/>
      <w:lang w:val="lv-LV"/>
    </w:rPr>
  </w:style>
  <w:style w:type="character" w:customStyle="1" w:styleId="article-time">
    <w:name w:val="article-time"/>
    <w:rsid w:val="00F66099"/>
  </w:style>
  <w:style w:type="character" w:styleId="FollowedHyperlink">
    <w:name w:val="FollowedHyperlink"/>
    <w:rsid w:val="00B87DD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1166"/>
          <w:marRight w:val="0"/>
          <w:marTop w:val="86"/>
          <w:marBottom w:val="0"/>
          <w:divBdr>
            <w:top w:val="none" w:sz="0" w:space="0" w:color="auto"/>
            <w:left w:val="none" w:sz="0" w:space="0" w:color="auto"/>
            <w:bottom w:val="none" w:sz="0" w:space="0" w:color="auto"/>
            <w:right w:val="none" w:sz="0" w:space="0" w:color="auto"/>
          </w:divBdr>
        </w:div>
        <w:div w:id="4">
          <w:marLeft w:val="1166"/>
          <w:marRight w:val="0"/>
          <w:marTop w:val="86"/>
          <w:marBottom w:val="0"/>
          <w:divBdr>
            <w:top w:val="none" w:sz="0" w:space="0" w:color="auto"/>
            <w:left w:val="none" w:sz="0" w:space="0" w:color="auto"/>
            <w:bottom w:val="none" w:sz="0" w:space="0" w:color="auto"/>
            <w:right w:val="none" w:sz="0" w:space="0" w:color="auto"/>
          </w:divBdr>
        </w:div>
        <w:div w:id="5">
          <w:marLeft w:val="1166"/>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96"/>
          <w:marBottom w:val="0"/>
          <w:divBdr>
            <w:top w:val="none" w:sz="0" w:space="0" w:color="auto"/>
            <w:left w:val="none" w:sz="0" w:space="0" w:color="auto"/>
            <w:bottom w:val="none" w:sz="0" w:space="0" w:color="auto"/>
            <w:right w:val="none" w:sz="0" w:space="0" w:color="auto"/>
          </w:divBdr>
        </w:div>
        <w:div w:id="7">
          <w:marLeft w:val="1166"/>
          <w:marRight w:val="0"/>
          <w:marTop w:val="86"/>
          <w:marBottom w:val="0"/>
          <w:divBdr>
            <w:top w:val="none" w:sz="0" w:space="0" w:color="auto"/>
            <w:left w:val="none" w:sz="0" w:space="0" w:color="auto"/>
            <w:bottom w:val="none" w:sz="0" w:space="0" w:color="auto"/>
            <w:right w:val="none" w:sz="0" w:space="0" w:color="auto"/>
          </w:divBdr>
        </w:div>
      </w:divsChild>
    </w:div>
    <w:div w:id="550465635">
      <w:bodyDiv w:val="1"/>
      <w:marLeft w:val="0"/>
      <w:marRight w:val="0"/>
      <w:marTop w:val="0"/>
      <w:marBottom w:val="0"/>
      <w:divBdr>
        <w:top w:val="none" w:sz="0" w:space="0" w:color="auto"/>
        <w:left w:val="none" w:sz="0" w:space="0" w:color="auto"/>
        <w:bottom w:val="none" w:sz="0" w:space="0" w:color="auto"/>
        <w:right w:val="none" w:sz="0" w:space="0" w:color="auto"/>
      </w:divBdr>
    </w:div>
    <w:div w:id="899631156">
      <w:bodyDiv w:val="1"/>
      <w:marLeft w:val="0"/>
      <w:marRight w:val="0"/>
      <w:marTop w:val="0"/>
      <w:marBottom w:val="0"/>
      <w:divBdr>
        <w:top w:val="none" w:sz="0" w:space="0" w:color="auto"/>
        <w:left w:val="none" w:sz="0" w:space="0" w:color="auto"/>
        <w:bottom w:val="none" w:sz="0" w:space="0" w:color="auto"/>
        <w:right w:val="none" w:sz="0" w:space="0" w:color="auto"/>
      </w:divBdr>
    </w:div>
    <w:div w:id="1224096850">
      <w:bodyDiv w:val="1"/>
      <w:marLeft w:val="0"/>
      <w:marRight w:val="0"/>
      <w:marTop w:val="0"/>
      <w:marBottom w:val="0"/>
      <w:divBdr>
        <w:top w:val="none" w:sz="0" w:space="0" w:color="auto"/>
        <w:left w:val="none" w:sz="0" w:space="0" w:color="auto"/>
        <w:bottom w:val="none" w:sz="0" w:space="0" w:color="auto"/>
        <w:right w:val="none" w:sz="0" w:space="0" w:color="auto"/>
      </w:divBdr>
    </w:div>
    <w:div w:id="1387292309">
      <w:bodyDiv w:val="1"/>
      <w:marLeft w:val="0"/>
      <w:marRight w:val="0"/>
      <w:marTop w:val="0"/>
      <w:marBottom w:val="0"/>
      <w:divBdr>
        <w:top w:val="none" w:sz="0" w:space="0" w:color="auto"/>
        <w:left w:val="none" w:sz="0" w:space="0" w:color="auto"/>
        <w:bottom w:val="none" w:sz="0" w:space="0" w:color="auto"/>
        <w:right w:val="none" w:sz="0" w:space="0" w:color="auto"/>
      </w:divBdr>
    </w:div>
    <w:div w:id="198962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ficil.lv" TargetMode="External"/><Relationship Id="rId1" Type="http://schemas.openxmlformats.org/officeDocument/2006/relationships/hyperlink" Target="mailto:ficil@ficil.lv"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ficil.lv/" TargetMode="External"/><Relationship Id="rId1" Type="http://schemas.openxmlformats.org/officeDocument/2006/relationships/hyperlink" Target="mailto:ficil@ficil.l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delfi.lv/news/comment/comment/maija-zalite-latvija-butu-jaievies-komerctie&#8204;sas.d?id=31231893" TargetMode="External"/><Relationship Id="rId3" Type="http://schemas.openxmlformats.org/officeDocument/2006/relationships/hyperlink" Target="http://eur-lex.europa.eu/LexUriServ/LexUriServ.do?uri=CELEX:31999L0093:LV:HTML" TargetMode="External"/><Relationship Id="rId7" Type="http://schemas.openxmlformats.org/officeDocument/2006/relationships/hyperlink" Target="http://www.tvnet.lv/zinas/latvija/206243-latvija_rosina_izveidot_komerctiesu" TargetMode="External"/><Relationship Id="rId2" Type="http://schemas.openxmlformats.org/officeDocument/2006/relationships/hyperlink" Target="http://titania.saeima.lv/LIVS11/SaeimaLIVS11.nsf/0/F0C0D56A647CD32CC2257BF700487F6F?OpenDocument" TargetMode="External"/><Relationship Id="rId1" Type="http://schemas.openxmlformats.org/officeDocument/2006/relationships/hyperlink" Target="http://titania.saeima.lv/LIVS/SaeimaLIVS.nsf/0/614B6229E4CC5107C225767F00364BDE?OpenDocument" TargetMode="External"/><Relationship Id="rId6" Type="http://schemas.openxmlformats.org/officeDocument/2006/relationships/hyperlink" Target="http://at.gov.lv/files/uploads/files/archive/department1/2010/37-vi.doc" TargetMode="External"/><Relationship Id="rId11" Type="http://schemas.openxmlformats.org/officeDocument/2006/relationships/hyperlink" Target="http://www.kp.gov.lv/lv/aktua&#8204;litates/250-konkurences-zurnals-global-competition-review-konkurences-padome-ir-aktiva-un-zinosa-iestade" TargetMode="External"/><Relationship Id="rId5" Type="http://schemas.openxmlformats.org/officeDocument/2006/relationships/hyperlink" Target="http://mk.gov.lv/doc/2005/VARAMZINO_240913.2977.DOCX" TargetMode="External"/><Relationship Id="rId10" Type="http://schemas.openxmlformats.org/officeDocument/2006/relationships/hyperlink" Target="http://www.kp.gov.lv/lv/konkurences-padomes-lemumi" TargetMode="External"/><Relationship Id="rId4" Type="http://schemas.openxmlformats.org/officeDocument/2006/relationships/hyperlink" Target="http://eur-lex.europa.eu/LexUriServ/LexUriServ.do?uri=CELEX:31999L0093:LV:HTML" TargetMode="External"/><Relationship Id="rId9" Type="http://schemas.openxmlformats.org/officeDocument/2006/relationships/hyperlink" Target="http://www.db.lv/laikra&#8204;ksta-arhivs/zinas/velas-komerctiesas-3919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3EE32-1B16-400C-9710-295E9BA1F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27474</Words>
  <Characters>15661</Characters>
  <Application>Microsoft Office Word</Application>
  <DocSecurity>0</DocSecurity>
  <Lines>130</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43049</CharactersWithSpaces>
  <SharedDoc>false</SharedDoc>
  <HLinks>
    <vt:vector size="78" baseType="variant">
      <vt:variant>
        <vt:i4>5767251</vt:i4>
      </vt:variant>
      <vt:variant>
        <vt:i4>30</vt:i4>
      </vt:variant>
      <vt:variant>
        <vt:i4>0</vt:i4>
      </vt:variant>
      <vt:variant>
        <vt:i4>5</vt:i4>
      </vt:variant>
      <vt:variant>
        <vt:lpwstr>http://www.kp.gov.lv/lv/aktualitates/250-konkurences-zurnals-global-competition-review-konkurences-padome-ir-aktiva-un-zinosa-iestade</vt:lpwstr>
      </vt:variant>
      <vt:variant>
        <vt:lpwstr/>
      </vt:variant>
      <vt:variant>
        <vt:i4>7667815</vt:i4>
      </vt:variant>
      <vt:variant>
        <vt:i4>27</vt:i4>
      </vt:variant>
      <vt:variant>
        <vt:i4>0</vt:i4>
      </vt:variant>
      <vt:variant>
        <vt:i4>5</vt:i4>
      </vt:variant>
      <vt:variant>
        <vt:lpwstr>http://www.kp.gov.lv/lv/konkurences-padomes-lemumi</vt:lpwstr>
      </vt:variant>
      <vt:variant>
        <vt:lpwstr/>
      </vt:variant>
      <vt:variant>
        <vt:i4>3080301</vt:i4>
      </vt:variant>
      <vt:variant>
        <vt:i4>24</vt:i4>
      </vt:variant>
      <vt:variant>
        <vt:i4>0</vt:i4>
      </vt:variant>
      <vt:variant>
        <vt:i4>5</vt:i4>
      </vt:variant>
      <vt:variant>
        <vt:lpwstr>http://www.db.lv/laikraksta-arhivs/zinas/velas-komerctiesas-391992</vt:lpwstr>
      </vt:variant>
      <vt:variant>
        <vt:lpwstr/>
      </vt:variant>
      <vt:variant>
        <vt:i4>6357051</vt:i4>
      </vt:variant>
      <vt:variant>
        <vt:i4>21</vt:i4>
      </vt:variant>
      <vt:variant>
        <vt:i4>0</vt:i4>
      </vt:variant>
      <vt:variant>
        <vt:i4>5</vt:i4>
      </vt:variant>
      <vt:variant>
        <vt:lpwstr>http://www.delfi.lv/news/comment/comment/maija-zalite-latvija-butu-jaievies-komerctiesas.d?id=31231893</vt:lpwstr>
      </vt:variant>
      <vt:variant>
        <vt:lpwstr/>
      </vt:variant>
      <vt:variant>
        <vt:i4>8192001</vt:i4>
      </vt:variant>
      <vt:variant>
        <vt:i4>18</vt:i4>
      </vt:variant>
      <vt:variant>
        <vt:i4>0</vt:i4>
      </vt:variant>
      <vt:variant>
        <vt:i4>5</vt:i4>
      </vt:variant>
      <vt:variant>
        <vt:lpwstr>http://www.tvnet.lv/zinas/latvija/206243-latvija_rosina_izveidot_komerctiesu</vt:lpwstr>
      </vt:variant>
      <vt:variant>
        <vt:lpwstr/>
      </vt:variant>
      <vt:variant>
        <vt:i4>3014757</vt:i4>
      </vt:variant>
      <vt:variant>
        <vt:i4>15</vt:i4>
      </vt:variant>
      <vt:variant>
        <vt:i4>0</vt:i4>
      </vt:variant>
      <vt:variant>
        <vt:i4>5</vt:i4>
      </vt:variant>
      <vt:variant>
        <vt:lpwstr>http://at.gov.lv/files/uploads/files/archive/department1/2010/37-vi.doc</vt:lpwstr>
      </vt:variant>
      <vt:variant>
        <vt:lpwstr/>
      </vt:variant>
      <vt:variant>
        <vt:i4>3932174</vt:i4>
      </vt:variant>
      <vt:variant>
        <vt:i4>12</vt:i4>
      </vt:variant>
      <vt:variant>
        <vt:i4>0</vt:i4>
      </vt:variant>
      <vt:variant>
        <vt:i4>5</vt:i4>
      </vt:variant>
      <vt:variant>
        <vt:lpwstr>http://mk.gov.lv/doc/2005/VARAMZINO_240913.2977.DOCX</vt:lpwstr>
      </vt:variant>
      <vt:variant>
        <vt:lpwstr/>
      </vt:variant>
      <vt:variant>
        <vt:i4>3211391</vt:i4>
      </vt:variant>
      <vt:variant>
        <vt:i4>9</vt:i4>
      </vt:variant>
      <vt:variant>
        <vt:i4>0</vt:i4>
      </vt:variant>
      <vt:variant>
        <vt:i4>5</vt:i4>
      </vt:variant>
      <vt:variant>
        <vt:lpwstr>http://eur-lex.europa.eu/LexUriServ/LexUriServ.do?uri=CELEX:31999L0093:LV:HTML</vt:lpwstr>
      </vt:variant>
      <vt:variant>
        <vt:lpwstr/>
      </vt:variant>
      <vt:variant>
        <vt:i4>3211391</vt:i4>
      </vt:variant>
      <vt:variant>
        <vt:i4>6</vt:i4>
      </vt:variant>
      <vt:variant>
        <vt:i4>0</vt:i4>
      </vt:variant>
      <vt:variant>
        <vt:i4>5</vt:i4>
      </vt:variant>
      <vt:variant>
        <vt:lpwstr>http://eur-lex.europa.eu/LexUriServ/LexUriServ.do?uri=CELEX:31999L0093:LV:HTML</vt:lpwstr>
      </vt:variant>
      <vt:variant>
        <vt:lpwstr/>
      </vt:variant>
      <vt:variant>
        <vt:i4>5636173</vt:i4>
      </vt:variant>
      <vt:variant>
        <vt:i4>3</vt:i4>
      </vt:variant>
      <vt:variant>
        <vt:i4>0</vt:i4>
      </vt:variant>
      <vt:variant>
        <vt:i4>5</vt:i4>
      </vt:variant>
      <vt:variant>
        <vt:lpwstr>http://titania.saeima.lv/LIVS11/SaeimaLIVS11.nsf/0/F0C0D56A647CD32CC2257BF700487F6F?OpenDocument</vt:lpwstr>
      </vt:variant>
      <vt:variant>
        <vt:lpwstr/>
      </vt:variant>
      <vt:variant>
        <vt:i4>5505051</vt:i4>
      </vt:variant>
      <vt:variant>
        <vt:i4>0</vt:i4>
      </vt:variant>
      <vt:variant>
        <vt:i4>0</vt:i4>
      </vt:variant>
      <vt:variant>
        <vt:i4>5</vt:i4>
      </vt:variant>
      <vt:variant>
        <vt:lpwstr>http://titania.saeima.lv/LIVS/SaeimaLIVS.nsf/0/614B6229E4CC5107C225767F00364BDE?OpenDocument</vt:lpwstr>
      </vt:variant>
      <vt:variant>
        <vt:lpwstr/>
      </vt:variant>
      <vt:variant>
        <vt:i4>65544</vt:i4>
      </vt:variant>
      <vt:variant>
        <vt:i4>8</vt:i4>
      </vt:variant>
      <vt:variant>
        <vt:i4>0</vt:i4>
      </vt:variant>
      <vt:variant>
        <vt:i4>5</vt:i4>
      </vt:variant>
      <vt:variant>
        <vt:lpwstr>http://www.ficil.lv/</vt:lpwstr>
      </vt:variant>
      <vt:variant>
        <vt:lpwstr/>
      </vt:variant>
      <vt:variant>
        <vt:i4>917540</vt:i4>
      </vt:variant>
      <vt:variant>
        <vt:i4>5</vt:i4>
      </vt:variant>
      <vt:variant>
        <vt:i4>0</vt:i4>
      </vt:variant>
      <vt:variant>
        <vt:i4>5</vt:i4>
      </vt:variant>
      <vt:variant>
        <vt:lpwstr>mailto:ficil@ficil.lv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dc:creator>
  <cp:lastModifiedBy>Edijs</cp:lastModifiedBy>
  <cp:revision>2</cp:revision>
  <cp:lastPrinted>2014-05-27T08:38:00Z</cp:lastPrinted>
  <dcterms:created xsi:type="dcterms:W3CDTF">2014-06-09T06:25:00Z</dcterms:created>
  <dcterms:modified xsi:type="dcterms:W3CDTF">2014-06-09T06:25:00Z</dcterms:modified>
</cp:coreProperties>
</file>